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16.xml" ContentType="application/vnd.ms-office.chartcolorstyle+xml"/>
  <Override PartName="/word/charts/colors17.xml" ContentType="application/vnd.ms-office.chartcolorstyle+xml"/>
  <Override PartName="/word/charts/colors18.xml" ContentType="application/vnd.ms-office.chartcolorstyle+xml"/>
  <Override PartName="/word/charts/colors19.xml" ContentType="application/vnd.ms-office.chartcolorstyle+xml"/>
  <Override PartName="/word/charts/colors2.xml" ContentType="application/vnd.ms-office.chartcolorstyle+xml"/>
  <Override PartName="/word/charts/colors20.xml" ContentType="application/vnd.ms-office.chartcolorstyle+xml"/>
  <Override PartName="/word/charts/colors21.xml" ContentType="application/vnd.ms-office.chartcolorstyle+xml"/>
  <Override PartName="/word/charts/colors22.xml" ContentType="application/vnd.ms-office.chartcolorstyle+xml"/>
  <Override PartName="/word/charts/colors23.xml" ContentType="application/vnd.ms-office.chartcolorstyle+xml"/>
  <Override PartName="/word/charts/colors24.xml" ContentType="application/vnd.ms-office.chartcolorstyle+xml"/>
  <Override PartName="/word/charts/colors25.xml" ContentType="application/vnd.ms-office.chartcolorstyle+xml"/>
  <Override PartName="/word/charts/colors26.xml" ContentType="application/vnd.ms-office.chartcolorstyle+xml"/>
  <Override PartName="/word/charts/colors27.xml" ContentType="application/vnd.ms-office.chartcolorstyle+xml"/>
  <Override PartName="/word/charts/colors28.xml" ContentType="application/vnd.ms-office.chartcolorstyle+xml"/>
  <Override PartName="/word/charts/colors29.xml" ContentType="application/vnd.ms-office.chartcolorstyle+xml"/>
  <Override PartName="/word/charts/colors3.xml" ContentType="application/vnd.ms-office.chartcolorstyle+xml"/>
  <Override PartName="/word/charts/colors30.xml" ContentType="application/vnd.ms-office.chartcolorstyle+xml"/>
  <Override PartName="/word/charts/colors31.xml" ContentType="application/vnd.ms-office.chartcolorstyle+xml"/>
  <Override PartName="/word/charts/colors32.xml" ContentType="application/vnd.ms-office.chartcolorstyle+xml"/>
  <Override PartName="/word/charts/colors33.xml" ContentType="application/vnd.ms-office.chartcolorstyle+xml"/>
  <Override PartName="/word/charts/colors34.xml" ContentType="application/vnd.ms-office.chartcolorstyle+xml"/>
  <Override PartName="/word/charts/colors35.xml" ContentType="application/vnd.ms-office.chartcolorstyle+xml"/>
  <Override PartName="/word/charts/colors36.xml" ContentType="application/vnd.ms-office.chartcolorstyle+xml"/>
  <Override PartName="/word/charts/colors37.xml" ContentType="application/vnd.ms-office.chartcolorstyle+xml"/>
  <Override PartName="/word/charts/colors38.xml" ContentType="application/vnd.ms-office.chartcolorstyle+xml"/>
  <Override PartName="/word/charts/colors39.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16.xml" ContentType="application/vnd.ms-office.chartstyle+xml"/>
  <Override PartName="/word/charts/style17.xml" ContentType="application/vnd.ms-office.chartstyle+xml"/>
  <Override PartName="/word/charts/style18.xml" ContentType="application/vnd.ms-office.chartstyle+xml"/>
  <Override PartName="/word/charts/style19.xml" ContentType="application/vnd.ms-office.chartstyle+xml"/>
  <Override PartName="/word/charts/style2.xml" ContentType="application/vnd.ms-office.chartstyle+xml"/>
  <Override PartName="/word/charts/style20.xml" ContentType="application/vnd.ms-office.chartstyle+xml"/>
  <Override PartName="/word/charts/style21.xml" ContentType="application/vnd.ms-office.chartstyle+xml"/>
  <Override PartName="/word/charts/style22.xml" ContentType="application/vnd.ms-office.chartstyle+xml"/>
  <Override PartName="/word/charts/style23.xml" ContentType="application/vnd.ms-office.chartstyle+xml"/>
  <Override PartName="/word/charts/style24.xml" ContentType="application/vnd.ms-office.chartstyle+xml"/>
  <Override PartName="/word/charts/style25.xml" ContentType="application/vnd.ms-office.chartstyle+xml"/>
  <Override PartName="/word/charts/style26.xml" ContentType="application/vnd.ms-office.chartstyle+xml"/>
  <Override PartName="/word/charts/style27.xml" ContentType="application/vnd.ms-office.chartstyle+xml"/>
  <Override PartName="/word/charts/style28.xml" ContentType="application/vnd.ms-office.chartstyle+xml"/>
  <Override PartName="/word/charts/style29.xml" ContentType="application/vnd.ms-office.chartstyle+xml"/>
  <Override PartName="/word/charts/style3.xml" ContentType="application/vnd.ms-office.chartstyle+xml"/>
  <Override PartName="/word/charts/style30.xml" ContentType="application/vnd.ms-office.chartstyle+xml"/>
  <Override PartName="/word/charts/style31.xml" ContentType="application/vnd.ms-office.chartstyle+xml"/>
  <Override PartName="/word/charts/style32.xml" ContentType="application/vnd.ms-office.chartstyle+xml"/>
  <Override PartName="/word/charts/style33.xml" ContentType="application/vnd.ms-office.chartstyle+xml"/>
  <Override PartName="/word/charts/style34.xml" ContentType="application/vnd.ms-office.chartstyle+xml"/>
  <Override PartName="/word/charts/style35.xml" ContentType="application/vnd.ms-office.chartstyle+xml"/>
  <Override PartName="/word/charts/style36.xml" ContentType="application/vnd.ms-office.chartstyle+xml"/>
  <Override PartName="/word/charts/style37.xml" ContentType="application/vnd.ms-office.chartstyle+xml"/>
  <Override PartName="/word/charts/style38.xml" ContentType="application/vnd.ms-office.chartstyle+xml"/>
  <Override PartName="/word/charts/style39.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iagrams/colors1.xml" ContentType="application/vnd.openxmlformats-officedocument.drawingml.diagramColors+xml"/>
  <Override PartName="/word/diagrams/colors2.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黑体"/>
          <w:b/>
          <w:sz w:val="36"/>
          <w:szCs w:val="36"/>
        </w:rPr>
        <w:sectPr>
          <w:headerReference r:id="rId4" w:type="default"/>
          <w:footerReference r:id="rId5" w:type="default"/>
          <w:pgSz w:w="11907" w:h="16160"/>
          <w:pgMar w:top="1418" w:right="1418" w:bottom="1418" w:left="1701" w:header="1020" w:footer="397" w:gutter="0"/>
          <w:pgNumType w:fmt="upperRoman" w:start="1"/>
          <w:cols w:space="720" w:num="1"/>
          <w:docGrid w:type="linesAndChars" w:linePitch="312" w:charSpace="0"/>
        </w:sectPr>
      </w:pPr>
      <w:r>
        <w:rPr>
          <w:rFonts w:ascii="Times New Roman" w:hAnsi="Times New Roman" w:eastAsia="黑体"/>
          <w:b/>
          <w:sz w:val="36"/>
          <w:szCs w:val="36"/>
        </w:rPr>
        <w:drawing>
          <wp:anchor distT="0" distB="0" distL="114300" distR="114300" simplePos="0" relativeHeight="251944960" behindDoc="0" locked="0" layoutInCell="1" allowOverlap="1">
            <wp:simplePos x="0" y="0"/>
            <wp:positionH relativeFrom="margin">
              <wp:posOffset>-861695</wp:posOffset>
            </wp:positionH>
            <wp:positionV relativeFrom="paragraph">
              <wp:posOffset>67945</wp:posOffset>
            </wp:positionV>
            <wp:extent cx="3455670" cy="846455"/>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55612" cy="846161"/>
                    </a:xfrm>
                    <a:prstGeom prst="rect">
                      <a:avLst/>
                    </a:prstGeom>
                  </pic:spPr>
                </pic:pic>
              </a:graphicData>
            </a:graphic>
          </wp:anchor>
        </w:drawing>
      </w:r>
      <w:r>
        <mc:AlternateContent>
          <mc:Choice Requires="wps">
            <w:drawing>
              <wp:anchor distT="0" distB="0" distL="114300" distR="114300" simplePos="0" relativeHeight="251774976" behindDoc="0" locked="0" layoutInCell="1" allowOverlap="1">
                <wp:simplePos x="0" y="0"/>
                <wp:positionH relativeFrom="page">
                  <wp:align>right</wp:align>
                </wp:positionH>
                <wp:positionV relativeFrom="paragraph">
                  <wp:posOffset>7369175</wp:posOffset>
                </wp:positionV>
                <wp:extent cx="7572375" cy="931545"/>
                <wp:effectExtent l="0" t="0" r="0" b="0"/>
                <wp:wrapNone/>
                <wp:docPr id="30" name="文本框 30"/>
                <wp:cNvGraphicFramePr/>
                <a:graphic xmlns:a="http://schemas.openxmlformats.org/drawingml/2006/main">
                  <a:graphicData uri="http://schemas.microsoft.com/office/word/2010/wordprocessingShape">
                    <wps:wsp>
                      <wps:cNvSpPr txBox="1"/>
                      <wps:spPr bwMode="auto">
                        <a:xfrm>
                          <a:off x="0" y="0"/>
                          <a:ext cx="7572375" cy="931545"/>
                        </a:xfrm>
                        <a:prstGeom prst="rect">
                          <a:avLst/>
                        </a:prstGeom>
                        <a:noFill/>
                        <a:ln w="6350">
                          <a:noFill/>
                        </a:ln>
                      </wps:spPr>
                      <wps:txbx>
                        <w:txbxContent>
                          <w:p>
                            <w:pPr>
                              <w:jc w:val="center"/>
                              <w:rPr>
                                <w:rFonts w:hint="eastAsia" w:ascii="微软雅黑" w:hAnsi="微软雅黑" w:eastAsia="微软雅黑"/>
                                <w:b/>
                                <w:bCs/>
                                <w:color w:val="4C659B"/>
                                <w:sz w:val="32"/>
                                <w:szCs w:val="22"/>
                              </w:rPr>
                            </w:pPr>
                            <w:r>
                              <w:rPr>
                                <w:rFonts w:hint="eastAsia" w:ascii="微软雅黑" w:hAnsi="微软雅黑" w:eastAsia="微软雅黑"/>
                                <w:b/>
                                <w:bCs/>
                                <w:color w:val="4C659B"/>
                                <w:sz w:val="32"/>
                                <w:szCs w:val="22"/>
                              </w:rPr>
                              <w:t>皖西学院</w:t>
                            </w:r>
                          </w:p>
                          <w:p>
                            <w:pPr>
                              <w:jc w:val="center"/>
                              <w:rPr>
                                <w:rFonts w:hint="default" w:ascii="微软雅黑" w:hAnsi="微软雅黑" w:eastAsia="微软雅黑"/>
                                <w:b/>
                                <w:bCs/>
                                <w:color w:val="4C659B"/>
                                <w:sz w:val="32"/>
                                <w:szCs w:val="22"/>
                                <w:lang w:val="en-US" w:eastAsia="zh-CN"/>
                              </w:rPr>
                            </w:pPr>
                            <w:r>
                              <w:rPr>
                                <w:rFonts w:hint="eastAsia" w:ascii="微软雅黑" w:hAnsi="微软雅黑" w:eastAsia="微软雅黑"/>
                                <w:b/>
                                <w:bCs/>
                                <w:color w:val="4C659B"/>
                                <w:sz w:val="32"/>
                                <w:szCs w:val="22"/>
                                <w:lang w:eastAsia="zh-CN"/>
                              </w:rPr>
                              <w:t>二</w:t>
                            </w:r>
                            <w:r>
                              <w:rPr>
                                <w:rFonts w:hint="eastAsia" w:ascii="微软雅黑" w:hAnsi="微软雅黑" w:eastAsia="微软雅黑"/>
                                <w:b/>
                                <w:bCs/>
                                <w:color w:val="4C659B"/>
                                <w:sz w:val="32"/>
                                <w:szCs w:val="22"/>
                                <w:lang w:val="en-US" w:eastAsia="zh-CN"/>
                              </w:rPr>
                              <w:t>O一九年十二月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580.25pt;height:73.35pt;width:596.25pt;mso-position-horizontal:right;mso-position-horizontal-relative:page;z-index:251774976;mso-width-relative:page;mso-height-relative:page;" filled="f" stroked="f" coordsize="21600,21600" o:gfxdata="UEsDBAoAAAAAAIdO4kAAAAAAAAAAAAAAAAAEAAAAZHJzL1BLAwQUAAAACACHTuJA+fmoydsAAAAL&#10;AQAADwAAAGRycy9kb3ducmV2LnhtbE2PzU7DMBCE70i8g7VI3KidoJY2jVOhSBUSgkNLL9w28TaJ&#10;iO0Quz/w9GxP5Ta7s5r9Jl+dbS+ONIbOOw3JRIEgV3vTuUbD7mP9MAcRIjqDvXek4YcCrIrbmxwz&#10;409uQ8dtbASHuJChhjbGIZMy1C1ZDBM/kGNv70eLkcexkWbEE4fbXqZKzaTFzvGHFgcqW6q/tger&#10;4bVcv+OmSu38ty9f3vbPw/fuc6r1/V2iliAineP1GC74jA4FM1X+4EwQvQYuEnmbzNQUxMVPFimr&#10;itWjekpBFrn836H4A1BLAwQUAAAACACHTuJAE8hhFSkCAAAoBAAADgAAAGRycy9lMm9Eb2MueG1s&#10;rVPNjhMxDL4j8Q5R7nT6u8uOOl2VXRUhFXalgjinmaQzUhKHJO1MeQD2DThx4c5z9TlwMm2pgBPi&#10;Ejm28znfZ3t622pFdsL5GkxBB70+JcJwKGuzKeiH94sXLynxgZmSKTCioHvh6e3s+bNpY3MxhApU&#10;KRxBEOPzxha0CsHmWeZ5JTTzPbDCYFCC0yzg1W2y0rEG0bXKhv3+VdaAK60DLrxH730XpLOEL6Xg&#10;4UFKLwJRBcW/hXS6dK7jmc2mLN84ZquaH7/B/uEXmtUGi56h7llgZOvqP6B0zR14kKHHQWcgZc1F&#10;4oBsBv3f2KwqZkXiguJ4e5bJ/z9Y/m736EhdFnSE8himsUeHr0+Hbz8O378Q9KFAjfU55q0sZob2&#10;FbTY6JPfR+e6eQslPmTbAEmFVjod1UB+BLMReX8WW7SBcHReT66Ho+sJJRxjN6PBZDyJoBnLT6+t&#10;8+G1AE2iUVCHzUzobLf0oUs9pcRiBha1UqmhypCmoFejST89OEcQXBmsERnFn3fcQrtujzTXUO6R&#10;kINuULzlixqLL5kPj8zhZCAVnPbwgIdUgEXgaFFSgfv8N3/Mx4ZhlJIGJ62g/tOWOUGJemOwlTeD&#10;8TiOZrqMURW8uMvI+jJitvoOcJgHuFeWJzPmB3UypQP9EZdiHqtiiBmOtQsaTuZd6OYfl4qL+Twl&#10;4TBaFpZmZXmE7uScYztlnZSOgnXaHNXDcUy9Oq5OnPfLe8r6teCz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n5qMnbAAAACwEAAA8AAAAAAAAAAQAgAAAAIgAAAGRycy9kb3ducmV2LnhtbFBLAQIU&#10;ABQAAAAIAIdO4kATyGEVKQIAACgEAAAOAAAAAAAAAAEAIAAAACoBAABkcnMvZTJvRG9jLnhtbFBL&#10;BQYAAAAABgAGAFkBAADFBQAAAAA=&#10;">
                <v:fill on="f" focussize="0,0"/>
                <v:stroke on="f" weight="0.5pt"/>
                <v:imagedata o:title=""/>
                <o:lock v:ext="edit" aspectratio="f"/>
                <v:textbox>
                  <w:txbxContent>
                    <w:p>
                      <w:pPr>
                        <w:jc w:val="center"/>
                        <w:rPr>
                          <w:rFonts w:hint="eastAsia" w:ascii="微软雅黑" w:hAnsi="微软雅黑" w:eastAsia="微软雅黑"/>
                          <w:b/>
                          <w:bCs/>
                          <w:color w:val="4C659B"/>
                          <w:sz w:val="32"/>
                          <w:szCs w:val="22"/>
                        </w:rPr>
                      </w:pPr>
                      <w:r>
                        <w:rPr>
                          <w:rFonts w:hint="eastAsia" w:ascii="微软雅黑" w:hAnsi="微软雅黑" w:eastAsia="微软雅黑"/>
                          <w:b/>
                          <w:bCs/>
                          <w:color w:val="4C659B"/>
                          <w:sz w:val="32"/>
                          <w:szCs w:val="22"/>
                        </w:rPr>
                        <w:t>皖西学院</w:t>
                      </w:r>
                    </w:p>
                    <w:p>
                      <w:pPr>
                        <w:jc w:val="center"/>
                        <w:rPr>
                          <w:rFonts w:hint="default" w:ascii="微软雅黑" w:hAnsi="微软雅黑" w:eastAsia="微软雅黑"/>
                          <w:b/>
                          <w:bCs/>
                          <w:color w:val="4C659B"/>
                          <w:sz w:val="32"/>
                          <w:szCs w:val="22"/>
                          <w:lang w:val="en-US" w:eastAsia="zh-CN"/>
                        </w:rPr>
                      </w:pPr>
                      <w:r>
                        <w:rPr>
                          <w:rFonts w:hint="eastAsia" w:ascii="微软雅黑" w:hAnsi="微软雅黑" w:eastAsia="微软雅黑"/>
                          <w:b/>
                          <w:bCs/>
                          <w:color w:val="4C659B"/>
                          <w:sz w:val="32"/>
                          <w:szCs w:val="22"/>
                          <w:lang w:eastAsia="zh-CN"/>
                        </w:rPr>
                        <w:t>二</w:t>
                      </w:r>
                      <w:r>
                        <w:rPr>
                          <w:rFonts w:hint="eastAsia" w:ascii="微软雅黑" w:hAnsi="微软雅黑" w:eastAsia="微软雅黑"/>
                          <w:b/>
                          <w:bCs/>
                          <w:color w:val="4C659B"/>
                          <w:sz w:val="32"/>
                          <w:szCs w:val="22"/>
                          <w:lang w:val="en-US" w:eastAsia="zh-CN"/>
                        </w:rPr>
                        <w:t>O一九年十二月</w:t>
                      </w:r>
                    </w:p>
                  </w:txbxContent>
                </v:textbox>
              </v:shape>
            </w:pict>
          </mc:Fallback>
        </mc:AlternateContent>
      </w:r>
      <w:r>
        <w:rPr>
          <w:rFonts w:ascii="Times New Roman" w:hAnsi="Times New Roman" w:eastAsia="黑体"/>
          <w:b/>
          <w:sz w:val="36"/>
          <w:szCs w:val="36"/>
        </w:rPr>
        <mc:AlternateContent>
          <mc:Choice Requires="wps">
            <w:drawing>
              <wp:anchor distT="0" distB="0" distL="114300" distR="114300" simplePos="0" relativeHeight="251702272" behindDoc="0" locked="0" layoutInCell="1" allowOverlap="1">
                <wp:simplePos x="0" y="0"/>
                <wp:positionH relativeFrom="page">
                  <wp:posOffset>233680</wp:posOffset>
                </wp:positionH>
                <wp:positionV relativeFrom="paragraph">
                  <wp:posOffset>1918970</wp:posOffset>
                </wp:positionV>
                <wp:extent cx="6941185" cy="3042920"/>
                <wp:effectExtent l="0" t="0" r="0" b="5080"/>
                <wp:wrapNone/>
                <wp:docPr id="103" name="文本框 103"/>
                <wp:cNvGraphicFramePr/>
                <a:graphic xmlns:a="http://schemas.openxmlformats.org/drawingml/2006/main">
                  <a:graphicData uri="http://schemas.microsoft.com/office/word/2010/wordprocessingShape">
                    <wps:wsp>
                      <wps:cNvSpPr txBox="1">
                        <a:spLocks noChangeArrowheads="1"/>
                      </wps:cNvSpPr>
                      <wps:spPr bwMode="auto">
                        <a:xfrm>
                          <a:off x="0" y="0"/>
                          <a:ext cx="6941185" cy="3042920"/>
                        </a:xfrm>
                        <a:prstGeom prst="rect">
                          <a:avLst/>
                        </a:prstGeom>
                        <a:noFill/>
                        <a:ln>
                          <a:noFill/>
                        </a:ln>
                      </wps:spPr>
                      <wps:txbx>
                        <w:txbxContent>
                          <w:p>
                            <w:pPr>
                              <w:jc w:val="center"/>
                              <w:rPr>
                                <w:rFonts w:ascii="微软雅黑" w:hAnsi="微软雅黑" w:eastAsia="微软雅黑"/>
                                <w:b/>
                                <w:color w:val="FFFFFF" w:themeColor="background1"/>
                                <w:sz w:val="72"/>
                                <w:szCs w:val="80"/>
                                <w14:textFill>
                                  <w14:solidFill>
                                    <w14:schemeClr w14:val="bg1"/>
                                  </w14:solidFill>
                                </w14:textFill>
                              </w:rPr>
                            </w:pPr>
                            <w:r>
                              <w:rPr>
                                <w:rFonts w:hint="eastAsia" w:ascii="微软雅黑" w:hAnsi="微软雅黑" w:eastAsia="微软雅黑"/>
                                <w:b/>
                                <w:color w:val="FFFFFF" w:themeColor="background1"/>
                                <w:sz w:val="72"/>
                                <w:szCs w:val="80"/>
                                <w14:textFill>
                                  <w14:solidFill>
                                    <w14:schemeClr w14:val="bg1"/>
                                  </w14:solidFill>
                                </w14:textFill>
                              </w:rPr>
                              <w:t>皖西学院</w:t>
                            </w:r>
                          </w:p>
                          <w:p>
                            <w:pPr>
                              <w:jc w:val="center"/>
                              <w:rPr>
                                <w:rFonts w:ascii="微软雅黑" w:hAnsi="微软雅黑" w:eastAsia="微软雅黑"/>
                                <w:b/>
                                <w:color w:val="4472C4" w:themeColor="accent1"/>
                                <w:sz w:val="72"/>
                                <w:szCs w:val="80"/>
                                <w14:textFill>
                                  <w14:solidFill>
                                    <w14:schemeClr w14:val="accent1"/>
                                  </w14:solidFill>
                                </w14:textFill>
                              </w:rPr>
                            </w:pPr>
                          </w:p>
                          <w:p>
                            <w:pPr>
                              <w:jc w:val="center"/>
                              <w:rPr>
                                <w:rFonts w:ascii="微软雅黑" w:hAnsi="微软雅黑" w:eastAsia="微软雅黑"/>
                                <w:b/>
                                <w:color w:val="4C659B"/>
                                <w:sz w:val="48"/>
                                <w:szCs w:val="36"/>
                              </w:rPr>
                            </w:pPr>
                            <w:r>
                              <w:rPr>
                                <w:rFonts w:ascii="Times New Roman" w:hAnsi="Times New Roman"/>
                                <w:b/>
                                <w:color w:val="4C659B"/>
                                <w:sz w:val="48"/>
                                <w:szCs w:val="36"/>
                              </w:rPr>
                              <w:t>2019</w:t>
                            </w:r>
                            <w:r>
                              <w:rPr>
                                <w:rFonts w:hint="eastAsia" w:ascii="微软雅黑" w:hAnsi="微软雅黑" w:eastAsia="微软雅黑"/>
                                <w:b/>
                                <w:color w:val="4C659B"/>
                                <w:sz w:val="48"/>
                                <w:szCs w:val="36"/>
                              </w:rPr>
                              <w:t>届毕业生就业质量</w:t>
                            </w:r>
                            <w:r>
                              <w:rPr>
                                <w:rFonts w:ascii="微软雅黑" w:hAnsi="微软雅黑" w:eastAsia="微软雅黑"/>
                                <w:b/>
                                <w:color w:val="4C659B"/>
                                <w:sz w:val="48"/>
                                <w:szCs w:val="36"/>
                              </w:rPr>
                              <w:t>年度</w:t>
                            </w:r>
                            <w:r>
                              <w:rPr>
                                <w:rFonts w:hint="eastAsia" w:ascii="微软雅黑" w:hAnsi="微软雅黑" w:eastAsia="微软雅黑"/>
                                <w:b/>
                                <w:color w:val="4C659B"/>
                                <w:sz w:val="48"/>
                                <w:szCs w:val="36"/>
                              </w:rPr>
                              <w:t>报告</w:t>
                            </w:r>
                          </w:p>
                          <w:p>
                            <w:pPr>
                              <w:jc w:val="center"/>
                              <w:rPr>
                                <w:rFonts w:ascii="微软雅黑" w:hAnsi="微软雅黑" w:eastAsia="微软雅黑"/>
                                <w:b/>
                                <w:color w:val="215B9B"/>
                                <w:sz w:val="48"/>
                                <w:szCs w:val="36"/>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8.4pt;margin-top:151.1pt;height:239.6pt;width:546.55pt;mso-position-horizontal-relative:page;z-index:251702272;mso-width-relative:page;mso-height-relative:page;" filled="f" stroked="f" coordsize="21600,21600" o:gfxdata="UEsDBAoAAAAAAIdO4kAAAAAAAAAAAAAAAAAEAAAAZHJzL1BLAwQUAAAACACHTuJA7+79S9kAAAAL&#10;AQAADwAAAGRycy9kb3ducmV2LnhtbE2PzU7DMBCE70h9B2srcaN2QilNyKaHVlxBlB+Jmxtvk4h4&#10;HcVuE94e90RPq9GOZr4pNpPtxJkG3zpGSBYKBHHlTMs1wsf7890ahA+aje4cE8IvediUs5tC58aN&#10;/EbnfahFDGGfa4QmhD6X0lcNWe0XrieOv6MbrA5RDrU0gx5juO1kqtRKWt1ybGh0T9uGqp/9ySJ8&#10;vhy/v5bqtd7Zh350k5JsM4l4O0/UE4hAU/g3wwU/okMZmQ7uxMaLDuF+FclDvCpNQVwMSZplIA4I&#10;j+tkCbIs5PWG8g9QSwMEFAAAAAgAh07iQNouPMwAAgAAzAMAAA4AAABkcnMvZTJvRG9jLnhtbK1T&#10;wW7UMBC9I/EPlu9sku22dKPNVqVVEVKhSIUPcBxnY5F4zNi7yfIB9A84ceHe79rvYOxslwVuiItl&#10;z4yf33szXlwMXcs2Cp0GU/BsknKmjIRKm1XBP364eXHOmfPCVKIFowq+VY5fLJ8/W/Q2V1NooK0U&#10;MgIxLu9twRvvbZ4kTjaqE24CVhlK1oCd8HTEVVKh6Am9a5Npmp4lPWBlEaRyjqLXY5IvI35dK+nv&#10;6topz9qCEzcfV4xrGdZkuRD5CoVttNzTEP/AohPa0KMHqGvhBVuj/guq0xLBQe0nEroE6lpLFTWQ&#10;miz9Q819I6yKWsgcZw82uf8HK99t3iPTFfUuPeHMiI6atPv2sPv+uPvxlYUgWdRbl1PlvaVaP7yC&#10;gcqjXGdvQX5yzMBVI8xKXSJC3yhREcUs3EyOro44LoCU/Vuo6CWx9hCBhhq74B85wgidWrU9tEcN&#10;nkkKns1nWXZ+ypmk3Ek6m86nsYGJyJ+uW3T+tYKOhU3Bkfof4cXm1vlAR+RPJeE1Aze6beMMtOa3&#10;ABWGSKQfGI/c/VAOeztKqLYkBGEcKfoCtGkAv3DW0zgV3H1eC1SctW8MmTHPZrMwf/EwO31JzBke&#10;Z8rjjDCSoAruORu3V36c2bVFvWropdF+A5dkYK2jtOD0yGrPm0YmKt6Pd5jJ43Os+vUJ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7+79S9kAAAALAQAADwAAAAAAAAABACAAAAAiAAAAZHJzL2Rv&#10;d25yZXYueG1sUEsBAhQAFAAAAAgAh07iQNouPMwAAgAAzAMAAA4AAAAAAAAAAQAgAAAAKAEAAGRy&#10;cy9lMm9Eb2MueG1sUEsFBgAAAAAGAAYAWQEAAJoFAAAAAA==&#10;">
                <v:fill on="f" focussize="0,0"/>
                <v:stroke on="f"/>
                <v:imagedata o:title=""/>
                <o:lock v:ext="edit" aspectratio="f"/>
                <v:textbox>
                  <w:txbxContent>
                    <w:p>
                      <w:pPr>
                        <w:jc w:val="center"/>
                        <w:rPr>
                          <w:rFonts w:ascii="微软雅黑" w:hAnsi="微软雅黑" w:eastAsia="微软雅黑"/>
                          <w:b/>
                          <w:color w:val="FFFFFF" w:themeColor="background1"/>
                          <w:sz w:val="72"/>
                          <w:szCs w:val="80"/>
                          <w14:textFill>
                            <w14:solidFill>
                              <w14:schemeClr w14:val="bg1"/>
                            </w14:solidFill>
                          </w14:textFill>
                        </w:rPr>
                      </w:pPr>
                      <w:r>
                        <w:rPr>
                          <w:rFonts w:hint="eastAsia" w:ascii="微软雅黑" w:hAnsi="微软雅黑" w:eastAsia="微软雅黑"/>
                          <w:b/>
                          <w:color w:val="FFFFFF" w:themeColor="background1"/>
                          <w:sz w:val="72"/>
                          <w:szCs w:val="80"/>
                          <w14:textFill>
                            <w14:solidFill>
                              <w14:schemeClr w14:val="bg1"/>
                            </w14:solidFill>
                          </w14:textFill>
                        </w:rPr>
                        <w:t>皖西学院</w:t>
                      </w:r>
                    </w:p>
                    <w:p>
                      <w:pPr>
                        <w:jc w:val="center"/>
                        <w:rPr>
                          <w:rFonts w:ascii="微软雅黑" w:hAnsi="微软雅黑" w:eastAsia="微软雅黑"/>
                          <w:b/>
                          <w:color w:val="4472C4" w:themeColor="accent1"/>
                          <w:sz w:val="72"/>
                          <w:szCs w:val="80"/>
                          <w14:textFill>
                            <w14:solidFill>
                              <w14:schemeClr w14:val="accent1"/>
                            </w14:solidFill>
                          </w14:textFill>
                        </w:rPr>
                      </w:pPr>
                    </w:p>
                    <w:p>
                      <w:pPr>
                        <w:jc w:val="center"/>
                        <w:rPr>
                          <w:rFonts w:ascii="微软雅黑" w:hAnsi="微软雅黑" w:eastAsia="微软雅黑"/>
                          <w:b/>
                          <w:color w:val="4C659B"/>
                          <w:sz w:val="48"/>
                          <w:szCs w:val="36"/>
                        </w:rPr>
                      </w:pPr>
                      <w:r>
                        <w:rPr>
                          <w:rFonts w:ascii="Times New Roman" w:hAnsi="Times New Roman"/>
                          <w:b/>
                          <w:color w:val="4C659B"/>
                          <w:sz w:val="48"/>
                          <w:szCs w:val="36"/>
                        </w:rPr>
                        <w:t>2019</w:t>
                      </w:r>
                      <w:r>
                        <w:rPr>
                          <w:rFonts w:hint="eastAsia" w:ascii="微软雅黑" w:hAnsi="微软雅黑" w:eastAsia="微软雅黑"/>
                          <w:b/>
                          <w:color w:val="4C659B"/>
                          <w:sz w:val="48"/>
                          <w:szCs w:val="36"/>
                        </w:rPr>
                        <w:t>届毕业生就业质量</w:t>
                      </w:r>
                      <w:r>
                        <w:rPr>
                          <w:rFonts w:ascii="微软雅黑" w:hAnsi="微软雅黑" w:eastAsia="微软雅黑"/>
                          <w:b/>
                          <w:color w:val="4C659B"/>
                          <w:sz w:val="48"/>
                          <w:szCs w:val="36"/>
                        </w:rPr>
                        <w:t>年度</w:t>
                      </w:r>
                      <w:r>
                        <w:rPr>
                          <w:rFonts w:hint="eastAsia" w:ascii="微软雅黑" w:hAnsi="微软雅黑" w:eastAsia="微软雅黑"/>
                          <w:b/>
                          <w:color w:val="4C659B"/>
                          <w:sz w:val="48"/>
                          <w:szCs w:val="36"/>
                        </w:rPr>
                        <w:t>报告</w:t>
                      </w:r>
                    </w:p>
                    <w:p>
                      <w:pPr>
                        <w:jc w:val="center"/>
                        <w:rPr>
                          <w:rFonts w:ascii="微软雅黑" w:hAnsi="微软雅黑" w:eastAsia="微软雅黑"/>
                          <w:b/>
                          <w:color w:val="215B9B"/>
                          <w:sz w:val="48"/>
                          <w:szCs w:val="36"/>
                        </w:rPr>
                      </w:pPr>
                    </w:p>
                  </w:txbxContent>
                </v:textbox>
              </v:shape>
            </w:pict>
          </mc:Fallback>
        </mc:AlternateContent>
      </w:r>
      <w:r>
        <w:drawing>
          <wp:anchor distT="0" distB="0" distL="114300" distR="114300" simplePos="0" relativeHeight="251950080" behindDoc="1" locked="0" layoutInCell="1" allowOverlap="1">
            <wp:simplePos x="0" y="0"/>
            <wp:positionH relativeFrom="page">
              <wp:align>left</wp:align>
            </wp:positionH>
            <wp:positionV relativeFrom="page">
              <wp:align>top</wp:align>
            </wp:positionV>
            <wp:extent cx="7725410" cy="10929620"/>
            <wp:effectExtent l="0" t="0" r="8890" b="508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25410" cy="10929620"/>
                    </a:xfrm>
                    <a:prstGeom prst="rect">
                      <a:avLst/>
                    </a:prstGeom>
                  </pic:spPr>
                </pic:pic>
              </a:graphicData>
            </a:graphic>
          </wp:anchor>
        </w:drawing>
      </w:r>
      <w:bookmarkStart w:id="0" w:name="_Hlk520361120"/>
      <w:bookmarkEnd w:id="0"/>
      <w:r>
        <w:rPr>
          <w:rFonts w:ascii="Times New Roman" w:hAnsi="Times New Roman" w:eastAsia="黑体"/>
          <w:b/>
          <w:sz w:val="36"/>
          <w:szCs w:val="36"/>
        </w:rPr>
        <w:br w:type="page"/>
      </w:r>
    </w:p>
    <w:p>
      <w:pPr>
        <w:pageBreakBefore/>
        <w:shd w:val="clear" w:color="auto" w:fill="0F6FC6"/>
        <w:spacing w:after="312" w:afterLines="100" w:line="400" w:lineRule="atLeast"/>
        <w:jc w:val="center"/>
        <w:rPr>
          <w:rFonts w:ascii="Calibri" w:hAnsi="Calibri" w:eastAsia="黑体"/>
          <w:b/>
          <w:caps/>
          <w:color w:val="FFFFFF"/>
          <w:sz w:val="32"/>
          <w:szCs w:val="32"/>
        </w:rPr>
      </w:pPr>
      <w:bookmarkStart w:id="1" w:name="_Toc444521079"/>
      <w:r>
        <w:rPr>
          <w:rFonts w:hint="eastAsia" w:ascii="Calibri" w:hAnsi="Calibri" w:eastAsia="黑体"/>
          <w:b/>
          <w:caps/>
          <w:color w:val="FFFFFF"/>
          <w:sz w:val="32"/>
          <w:szCs w:val="32"/>
        </w:rPr>
        <w:t>目 录</w:t>
      </w:r>
      <w:bookmarkEnd w:id="1"/>
    </w:p>
    <w:p>
      <w:pPr>
        <w:pStyle w:val="21"/>
        <w:tabs>
          <w:tab w:val="right" w:leader="dot" w:pos="8778"/>
        </w:tabs>
        <w:rPr>
          <w:rFonts w:asciiTheme="minorHAnsi" w:hAnsiTheme="minorHAnsi" w:cstheme="minorBidi"/>
          <w:b w:val="0"/>
          <w:bCs w:val="0"/>
          <w:caps w:val="0"/>
          <w:color w:val="auto"/>
          <w:kern w:val="2"/>
          <w:sz w:val="21"/>
          <w:szCs w:val="22"/>
        </w:rPr>
      </w:pPr>
      <w:r>
        <w:rPr>
          <w:color w:val="auto"/>
          <w:sz w:val="20"/>
          <w:szCs w:val="22"/>
        </w:rPr>
        <w:fldChar w:fldCharType="begin"/>
      </w:r>
      <w:r>
        <w:rPr>
          <w:color w:val="auto"/>
          <w:sz w:val="20"/>
          <w:szCs w:val="22"/>
        </w:rPr>
        <w:instrText xml:space="preserve"> TOC \o "1-3" \h \z \u </w:instrText>
      </w:r>
      <w:r>
        <w:rPr>
          <w:color w:val="auto"/>
          <w:sz w:val="20"/>
          <w:szCs w:val="22"/>
        </w:rPr>
        <w:fldChar w:fldCharType="separate"/>
      </w:r>
      <w:r>
        <w:fldChar w:fldCharType="begin"/>
      </w:r>
      <w:r>
        <w:instrText xml:space="preserve"> HYPERLINK \l "_Toc27601798" </w:instrText>
      </w:r>
      <w:r>
        <w:fldChar w:fldCharType="separate"/>
      </w:r>
      <w:r>
        <w:rPr>
          <w:rStyle w:val="40"/>
        </w:rPr>
        <w:t>学校概况</w:t>
      </w:r>
      <w:r>
        <w:tab/>
      </w:r>
      <w:r>
        <w:fldChar w:fldCharType="begin"/>
      </w:r>
      <w:r>
        <w:instrText xml:space="preserve"> PAGEREF _Toc27601798 \h </w:instrText>
      </w:r>
      <w:r>
        <w:fldChar w:fldCharType="separate"/>
      </w:r>
      <w:r>
        <w:t>I</w:t>
      </w:r>
      <w:r>
        <w:fldChar w:fldCharType="end"/>
      </w:r>
      <w:r>
        <w:fldChar w:fldCharType="end"/>
      </w:r>
    </w:p>
    <w:p>
      <w:pPr>
        <w:pStyle w:val="21"/>
        <w:tabs>
          <w:tab w:val="right" w:leader="dot" w:pos="8778"/>
        </w:tabs>
        <w:rPr>
          <w:rFonts w:asciiTheme="minorHAnsi" w:hAnsiTheme="minorHAnsi" w:cstheme="minorBidi"/>
          <w:b w:val="0"/>
          <w:bCs w:val="0"/>
          <w:caps w:val="0"/>
          <w:color w:val="auto"/>
          <w:kern w:val="2"/>
          <w:sz w:val="21"/>
          <w:szCs w:val="22"/>
        </w:rPr>
      </w:pPr>
      <w:r>
        <w:fldChar w:fldCharType="begin"/>
      </w:r>
      <w:r>
        <w:instrText xml:space="preserve"> HYPERLINK \l "_Toc27601799" </w:instrText>
      </w:r>
      <w:r>
        <w:fldChar w:fldCharType="separate"/>
      </w:r>
      <w:r>
        <w:rPr>
          <w:rStyle w:val="40"/>
        </w:rPr>
        <w:t>报告说明</w:t>
      </w:r>
      <w:r>
        <w:tab/>
      </w:r>
      <w:r>
        <w:fldChar w:fldCharType="begin"/>
      </w:r>
      <w:r>
        <w:instrText xml:space="preserve"> PAGEREF _Toc27601799 \h </w:instrText>
      </w:r>
      <w:r>
        <w:fldChar w:fldCharType="separate"/>
      </w:r>
      <w:r>
        <w:t>III</w:t>
      </w:r>
      <w:r>
        <w:fldChar w:fldCharType="end"/>
      </w:r>
      <w:r>
        <w:fldChar w:fldCharType="end"/>
      </w:r>
    </w:p>
    <w:p>
      <w:pPr>
        <w:pStyle w:val="21"/>
        <w:tabs>
          <w:tab w:val="right" w:leader="dot" w:pos="8778"/>
        </w:tabs>
        <w:rPr>
          <w:rFonts w:asciiTheme="minorHAnsi" w:hAnsiTheme="minorHAnsi" w:cstheme="minorBidi"/>
          <w:b w:val="0"/>
          <w:bCs w:val="0"/>
          <w:caps w:val="0"/>
          <w:color w:val="auto"/>
          <w:kern w:val="2"/>
          <w:sz w:val="21"/>
          <w:szCs w:val="22"/>
        </w:rPr>
      </w:pPr>
      <w:r>
        <w:fldChar w:fldCharType="begin"/>
      </w:r>
      <w:r>
        <w:instrText xml:space="preserve"> HYPERLINK \l "_Toc27601800" </w:instrText>
      </w:r>
      <w:r>
        <w:fldChar w:fldCharType="separate"/>
      </w:r>
      <w:r>
        <w:rPr>
          <w:rStyle w:val="40"/>
        </w:rPr>
        <w:t>总体结论</w:t>
      </w:r>
      <w:r>
        <w:tab/>
      </w:r>
      <w:r>
        <w:fldChar w:fldCharType="begin"/>
      </w:r>
      <w:r>
        <w:instrText xml:space="preserve"> PAGEREF _Toc27601800 \h </w:instrText>
      </w:r>
      <w:r>
        <w:fldChar w:fldCharType="separate"/>
      </w:r>
      <w:r>
        <w:t>1</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szCs w:val="22"/>
        </w:rPr>
      </w:pPr>
      <w:r>
        <w:fldChar w:fldCharType="begin"/>
      </w:r>
      <w:r>
        <w:instrText xml:space="preserve"> HYPERLINK \l "_Toc27601801" </w:instrText>
      </w:r>
      <w:r>
        <w:fldChar w:fldCharType="separate"/>
      </w:r>
      <w:r>
        <w:rPr>
          <w:rStyle w:val="40"/>
        </w:rPr>
        <w:t>一、毕业生就业率和毕业去向</w:t>
      </w:r>
      <w:r>
        <w:tab/>
      </w:r>
      <w:r>
        <w:fldChar w:fldCharType="begin"/>
      </w:r>
      <w:r>
        <w:instrText xml:space="preserve"> PAGEREF _Toc27601801 \h </w:instrText>
      </w:r>
      <w:r>
        <w:fldChar w:fldCharType="separate"/>
      </w:r>
      <w:r>
        <w:t>1</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szCs w:val="22"/>
        </w:rPr>
      </w:pPr>
      <w:r>
        <w:fldChar w:fldCharType="begin"/>
      </w:r>
      <w:r>
        <w:instrText xml:space="preserve"> HYPERLINK \l "_Toc27601802" </w:instrText>
      </w:r>
      <w:r>
        <w:fldChar w:fldCharType="separate"/>
      </w:r>
      <w:r>
        <w:rPr>
          <w:rStyle w:val="40"/>
        </w:rPr>
        <w:t>二、就业分布</w:t>
      </w:r>
      <w:r>
        <w:tab/>
      </w:r>
      <w:r>
        <w:fldChar w:fldCharType="begin"/>
      </w:r>
      <w:r>
        <w:instrText xml:space="preserve"> PAGEREF _Toc27601802 \h </w:instrText>
      </w:r>
      <w:r>
        <w:fldChar w:fldCharType="separate"/>
      </w:r>
      <w:r>
        <w:t>1</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szCs w:val="22"/>
        </w:rPr>
      </w:pPr>
      <w:r>
        <w:fldChar w:fldCharType="begin"/>
      </w:r>
      <w:r>
        <w:instrText xml:space="preserve"> HYPERLINK \l "_Toc27601803" </w:instrText>
      </w:r>
      <w:r>
        <w:fldChar w:fldCharType="separate"/>
      </w:r>
      <w:r>
        <w:rPr>
          <w:rStyle w:val="40"/>
        </w:rPr>
        <w:t>三、就业质量</w:t>
      </w:r>
      <w:r>
        <w:tab/>
      </w:r>
      <w:r>
        <w:fldChar w:fldCharType="begin"/>
      </w:r>
      <w:r>
        <w:instrText xml:space="preserve"> PAGEREF _Toc27601803 \h </w:instrText>
      </w:r>
      <w:r>
        <w:fldChar w:fldCharType="separate"/>
      </w:r>
      <w:r>
        <w:t>2</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szCs w:val="22"/>
        </w:rPr>
      </w:pPr>
      <w:r>
        <w:fldChar w:fldCharType="begin"/>
      </w:r>
      <w:r>
        <w:instrText xml:space="preserve"> HYPERLINK \l "_Toc27601804" </w:instrText>
      </w:r>
      <w:r>
        <w:fldChar w:fldCharType="separate"/>
      </w:r>
      <w:r>
        <w:rPr>
          <w:rStyle w:val="40"/>
        </w:rPr>
        <w:t>四、对人才培养的评价</w:t>
      </w:r>
      <w:r>
        <w:tab/>
      </w:r>
      <w:r>
        <w:fldChar w:fldCharType="begin"/>
      </w:r>
      <w:r>
        <w:instrText xml:space="preserve"> PAGEREF _Toc27601804 \h </w:instrText>
      </w:r>
      <w:r>
        <w:fldChar w:fldCharType="separate"/>
      </w:r>
      <w:r>
        <w:t>3</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szCs w:val="22"/>
        </w:rPr>
      </w:pPr>
      <w:r>
        <w:fldChar w:fldCharType="begin"/>
      </w:r>
      <w:r>
        <w:instrText xml:space="preserve"> HYPERLINK \l "_Toc27601805" </w:instrText>
      </w:r>
      <w:r>
        <w:fldChar w:fldCharType="separate"/>
      </w:r>
      <w:r>
        <w:rPr>
          <w:rStyle w:val="40"/>
        </w:rPr>
        <w:t>五、对就业教育/服务的评价</w:t>
      </w:r>
      <w:r>
        <w:tab/>
      </w:r>
      <w:r>
        <w:fldChar w:fldCharType="begin"/>
      </w:r>
      <w:r>
        <w:instrText xml:space="preserve"> PAGEREF _Toc27601805 \h </w:instrText>
      </w:r>
      <w:r>
        <w:fldChar w:fldCharType="separate"/>
      </w:r>
      <w:r>
        <w:t>3</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szCs w:val="22"/>
        </w:rPr>
      </w:pPr>
      <w:r>
        <w:fldChar w:fldCharType="begin"/>
      </w:r>
      <w:r>
        <w:instrText xml:space="preserve"> HYPERLINK \l "_Toc27601806" </w:instrText>
      </w:r>
      <w:r>
        <w:fldChar w:fldCharType="separate"/>
      </w:r>
      <w:r>
        <w:rPr>
          <w:rStyle w:val="40"/>
        </w:rPr>
        <w:t>六、对创业服务的评价</w:t>
      </w:r>
      <w:r>
        <w:tab/>
      </w:r>
      <w:r>
        <w:fldChar w:fldCharType="begin"/>
      </w:r>
      <w:r>
        <w:instrText xml:space="preserve"> PAGEREF _Toc27601806 \h </w:instrText>
      </w:r>
      <w:r>
        <w:fldChar w:fldCharType="separate"/>
      </w:r>
      <w:r>
        <w:t>4</w:t>
      </w:r>
      <w:r>
        <w:fldChar w:fldCharType="end"/>
      </w:r>
      <w:r>
        <w:fldChar w:fldCharType="end"/>
      </w:r>
    </w:p>
    <w:p>
      <w:pPr>
        <w:pStyle w:val="21"/>
        <w:tabs>
          <w:tab w:val="right" w:leader="dot" w:pos="8778"/>
        </w:tabs>
        <w:rPr>
          <w:rFonts w:asciiTheme="minorHAnsi" w:hAnsiTheme="minorHAnsi" w:cstheme="minorBidi"/>
          <w:b w:val="0"/>
          <w:bCs w:val="0"/>
          <w:caps w:val="0"/>
          <w:color w:val="auto"/>
          <w:kern w:val="2"/>
          <w:sz w:val="21"/>
          <w:szCs w:val="22"/>
        </w:rPr>
      </w:pPr>
      <w:r>
        <w:fldChar w:fldCharType="begin"/>
      </w:r>
      <w:r>
        <w:instrText xml:space="preserve"> HYPERLINK \l "_Toc27601807" </w:instrText>
      </w:r>
      <w:r>
        <w:fldChar w:fldCharType="separate"/>
      </w:r>
      <w:r>
        <w:rPr>
          <w:rStyle w:val="40"/>
        </w:rPr>
        <w:t>第一篇：毕业生就业基本情况</w:t>
      </w:r>
      <w:r>
        <w:tab/>
      </w:r>
      <w:r>
        <w:fldChar w:fldCharType="begin"/>
      </w:r>
      <w:r>
        <w:instrText xml:space="preserve"> PAGEREF _Toc27601807 \h </w:instrText>
      </w:r>
      <w:r>
        <w:fldChar w:fldCharType="separate"/>
      </w:r>
      <w:r>
        <w:t>5</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szCs w:val="22"/>
        </w:rPr>
      </w:pPr>
      <w:r>
        <w:fldChar w:fldCharType="begin"/>
      </w:r>
      <w:r>
        <w:instrText xml:space="preserve"> HYPERLINK \l "_Toc27601808" </w:instrText>
      </w:r>
      <w:r>
        <w:fldChar w:fldCharType="separate"/>
      </w:r>
      <w:r>
        <w:rPr>
          <w:rStyle w:val="40"/>
        </w:rPr>
        <w:t>一、毕业生的规模和结构</w:t>
      </w:r>
      <w:r>
        <w:tab/>
      </w:r>
      <w:r>
        <w:fldChar w:fldCharType="begin"/>
      </w:r>
      <w:r>
        <w:instrText xml:space="preserve"> PAGEREF _Toc27601808 \h </w:instrText>
      </w:r>
      <w:r>
        <w:fldChar w:fldCharType="separate"/>
      </w:r>
      <w:r>
        <w:t>5</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szCs w:val="22"/>
        </w:rPr>
      </w:pPr>
      <w:r>
        <w:fldChar w:fldCharType="begin"/>
      </w:r>
      <w:r>
        <w:instrText xml:space="preserve"> HYPERLINK \l "_Toc27601809" </w:instrText>
      </w:r>
      <w:r>
        <w:fldChar w:fldCharType="separate"/>
      </w:r>
      <w:r>
        <w:rPr>
          <w:rStyle w:val="40"/>
        </w:rPr>
        <w:t>（一）总体规模</w:t>
      </w:r>
      <w:r>
        <w:tab/>
      </w:r>
      <w:r>
        <w:fldChar w:fldCharType="begin"/>
      </w:r>
      <w:r>
        <w:instrText xml:space="preserve"> PAGEREF _Toc27601809 \h </w:instrText>
      </w:r>
      <w:r>
        <w:fldChar w:fldCharType="separate"/>
      </w:r>
      <w:r>
        <w:t>5</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szCs w:val="22"/>
        </w:rPr>
      </w:pPr>
      <w:r>
        <w:fldChar w:fldCharType="begin"/>
      </w:r>
      <w:r>
        <w:instrText xml:space="preserve"> HYPERLINK \l "_Toc27601810" </w:instrText>
      </w:r>
      <w:r>
        <w:fldChar w:fldCharType="separate"/>
      </w:r>
      <w:r>
        <w:rPr>
          <w:rStyle w:val="40"/>
        </w:rPr>
        <w:t>（二）结构分布</w:t>
      </w:r>
      <w:r>
        <w:tab/>
      </w:r>
      <w:r>
        <w:fldChar w:fldCharType="begin"/>
      </w:r>
      <w:r>
        <w:instrText xml:space="preserve"> PAGEREF _Toc27601810 \h </w:instrText>
      </w:r>
      <w:r>
        <w:fldChar w:fldCharType="separate"/>
      </w:r>
      <w:r>
        <w:t>5</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szCs w:val="22"/>
        </w:rPr>
      </w:pPr>
      <w:r>
        <w:fldChar w:fldCharType="begin"/>
      </w:r>
      <w:r>
        <w:instrText xml:space="preserve"> HYPERLINK \l "_Toc27601811" </w:instrText>
      </w:r>
      <w:r>
        <w:fldChar w:fldCharType="separate"/>
      </w:r>
      <w:r>
        <w:rPr>
          <w:rStyle w:val="40"/>
        </w:rPr>
        <w:t>二、就业率及毕业去向</w:t>
      </w:r>
      <w:r>
        <w:tab/>
      </w:r>
      <w:r>
        <w:fldChar w:fldCharType="begin"/>
      </w:r>
      <w:r>
        <w:instrText xml:space="preserve"> PAGEREF _Toc27601811 \h </w:instrText>
      </w:r>
      <w:r>
        <w:fldChar w:fldCharType="separate"/>
      </w:r>
      <w:r>
        <w:t>8</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szCs w:val="22"/>
        </w:rPr>
      </w:pPr>
      <w:r>
        <w:fldChar w:fldCharType="begin"/>
      </w:r>
      <w:r>
        <w:instrText xml:space="preserve"> HYPERLINK \l "_Toc27601812" </w:instrText>
      </w:r>
      <w:r>
        <w:fldChar w:fldCharType="separate"/>
      </w:r>
      <w:r>
        <w:rPr>
          <w:rStyle w:val="40"/>
        </w:rPr>
        <w:t>（一）总体就业率及毕业去向</w:t>
      </w:r>
      <w:r>
        <w:tab/>
      </w:r>
      <w:r>
        <w:fldChar w:fldCharType="begin"/>
      </w:r>
      <w:r>
        <w:instrText xml:space="preserve"> PAGEREF _Toc27601812 \h </w:instrText>
      </w:r>
      <w:r>
        <w:fldChar w:fldCharType="separate"/>
      </w:r>
      <w:r>
        <w:t>8</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szCs w:val="22"/>
        </w:rPr>
      </w:pPr>
      <w:r>
        <w:fldChar w:fldCharType="begin"/>
      </w:r>
      <w:r>
        <w:instrText xml:space="preserve"> HYPERLINK \l "_Toc27601813" </w:instrText>
      </w:r>
      <w:r>
        <w:fldChar w:fldCharType="separate"/>
      </w:r>
      <w:r>
        <w:rPr>
          <w:rStyle w:val="40"/>
        </w:rPr>
        <w:t>（二）各学院的就业率</w:t>
      </w:r>
      <w:r>
        <w:tab/>
      </w:r>
      <w:r>
        <w:fldChar w:fldCharType="begin"/>
      </w:r>
      <w:r>
        <w:instrText xml:space="preserve"> PAGEREF _Toc27601813 \h </w:instrText>
      </w:r>
      <w:r>
        <w:fldChar w:fldCharType="separate"/>
      </w:r>
      <w:r>
        <w:t>9</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szCs w:val="22"/>
        </w:rPr>
      </w:pPr>
      <w:r>
        <w:fldChar w:fldCharType="begin"/>
      </w:r>
      <w:r>
        <w:instrText xml:space="preserve"> HYPERLINK \l "_Toc27601814" </w:instrText>
      </w:r>
      <w:r>
        <w:fldChar w:fldCharType="separate"/>
      </w:r>
      <w:r>
        <w:rPr>
          <w:rStyle w:val="40"/>
        </w:rPr>
        <w:t>（三）未就业分析</w:t>
      </w:r>
      <w:r>
        <w:tab/>
      </w:r>
      <w:r>
        <w:fldChar w:fldCharType="begin"/>
      </w:r>
      <w:r>
        <w:instrText xml:space="preserve"> PAGEREF _Toc27601814 \h </w:instrText>
      </w:r>
      <w:r>
        <w:fldChar w:fldCharType="separate"/>
      </w:r>
      <w:r>
        <w:t>12</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szCs w:val="22"/>
        </w:rPr>
      </w:pPr>
      <w:r>
        <w:fldChar w:fldCharType="begin"/>
      </w:r>
      <w:r>
        <w:instrText xml:space="preserve"> HYPERLINK \l "_Toc27601815" </w:instrText>
      </w:r>
      <w:r>
        <w:fldChar w:fldCharType="separate"/>
      </w:r>
      <w:r>
        <w:rPr>
          <w:rStyle w:val="40"/>
        </w:rPr>
        <w:t>三、就业流向</w:t>
      </w:r>
      <w:r>
        <w:tab/>
      </w:r>
      <w:r>
        <w:fldChar w:fldCharType="begin"/>
      </w:r>
      <w:r>
        <w:instrText xml:space="preserve"> PAGEREF _Toc27601815 \h </w:instrText>
      </w:r>
      <w:r>
        <w:fldChar w:fldCharType="separate"/>
      </w:r>
      <w:r>
        <w:t>12</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szCs w:val="22"/>
        </w:rPr>
      </w:pPr>
      <w:r>
        <w:fldChar w:fldCharType="begin"/>
      </w:r>
      <w:r>
        <w:instrText xml:space="preserve"> HYPERLINK \l "_Toc27601816" </w:instrText>
      </w:r>
      <w:r>
        <w:fldChar w:fldCharType="separate"/>
      </w:r>
      <w:r>
        <w:rPr>
          <w:rStyle w:val="40"/>
        </w:rPr>
        <w:t>（一）就业地区分布</w:t>
      </w:r>
      <w:r>
        <w:tab/>
      </w:r>
      <w:r>
        <w:fldChar w:fldCharType="begin"/>
      </w:r>
      <w:r>
        <w:instrText xml:space="preserve"> PAGEREF _Toc27601816 \h </w:instrText>
      </w:r>
      <w:r>
        <w:fldChar w:fldCharType="separate"/>
      </w:r>
      <w:r>
        <w:t>12</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szCs w:val="22"/>
        </w:rPr>
      </w:pPr>
      <w:r>
        <w:fldChar w:fldCharType="begin"/>
      </w:r>
      <w:r>
        <w:instrText xml:space="preserve"> HYPERLINK \l "_Toc27601817" </w:instrText>
      </w:r>
      <w:r>
        <w:fldChar w:fldCharType="separate"/>
      </w:r>
      <w:r>
        <w:rPr>
          <w:rStyle w:val="40"/>
        </w:rPr>
        <w:t>（二）就业行业分布</w:t>
      </w:r>
      <w:r>
        <w:tab/>
      </w:r>
      <w:r>
        <w:fldChar w:fldCharType="begin"/>
      </w:r>
      <w:r>
        <w:instrText xml:space="preserve"> PAGEREF _Toc27601817 \h </w:instrText>
      </w:r>
      <w:r>
        <w:fldChar w:fldCharType="separate"/>
      </w:r>
      <w:r>
        <w:t>14</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szCs w:val="22"/>
        </w:rPr>
      </w:pPr>
      <w:r>
        <w:fldChar w:fldCharType="begin"/>
      </w:r>
      <w:r>
        <w:instrText xml:space="preserve"> HYPERLINK \l "_Toc27601818" </w:instrText>
      </w:r>
      <w:r>
        <w:fldChar w:fldCharType="separate"/>
      </w:r>
      <w:r>
        <w:rPr>
          <w:rStyle w:val="40"/>
        </w:rPr>
        <w:t>（三）就业职业分布</w:t>
      </w:r>
      <w:r>
        <w:tab/>
      </w:r>
      <w:r>
        <w:fldChar w:fldCharType="begin"/>
      </w:r>
      <w:r>
        <w:instrText xml:space="preserve"> PAGEREF _Toc27601818 \h </w:instrText>
      </w:r>
      <w:r>
        <w:fldChar w:fldCharType="separate"/>
      </w:r>
      <w:r>
        <w:t>15</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szCs w:val="22"/>
        </w:rPr>
      </w:pPr>
      <w:r>
        <w:fldChar w:fldCharType="begin"/>
      </w:r>
      <w:r>
        <w:instrText xml:space="preserve"> HYPERLINK \l "_Toc27601819" </w:instrText>
      </w:r>
      <w:r>
        <w:fldChar w:fldCharType="separate"/>
      </w:r>
      <w:r>
        <w:rPr>
          <w:rStyle w:val="40"/>
        </w:rPr>
        <w:t>（四）就业单位分布</w:t>
      </w:r>
      <w:r>
        <w:tab/>
      </w:r>
      <w:r>
        <w:fldChar w:fldCharType="begin"/>
      </w:r>
      <w:r>
        <w:instrText xml:space="preserve"> PAGEREF _Toc27601819 \h </w:instrText>
      </w:r>
      <w:r>
        <w:fldChar w:fldCharType="separate"/>
      </w:r>
      <w:r>
        <w:t>15</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szCs w:val="22"/>
        </w:rPr>
      </w:pPr>
      <w:r>
        <w:fldChar w:fldCharType="begin"/>
      </w:r>
      <w:r>
        <w:instrText xml:space="preserve"> HYPERLINK \l "_Toc27601820" </w:instrText>
      </w:r>
      <w:r>
        <w:fldChar w:fldCharType="separate"/>
      </w:r>
      <w:r>
        <w:rPr>
          <w:rStyle w:val="40"/>
        </w:rPr>
        <w:t>四、深造及创业情况</w:t>
      </w:r>
      <w:r>
        <w:tab/>
      </w:r>
      <w:r>
        <w:fldChar w:fldCharType="begin"/>
      </w:r>
      <w:r>
        <w:instrText xml:space="preserve"> PAGEREF _Toc27601820 \h </w:instrText>
      </w:r>
      <w:r>
        <w:fldChar w:fldCharType="separate"/>
      </w:r>
      <w:r>
        <w:t>16</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szCs w:val="22"/>
        </w:rPr>
      </w:pPr>
      <w:r>
        <w:fldChar w:fldCharType="begin"/>
      </w:r>
      <w:r>
        <w:instrText xml:space="preserve"> HYPERLINK \l "_Toc27601821" </w:instrText>
      </w:r>
      <w:r>
        <w:fldChar w:fldCharType="separate"/>
      </w:r>
      <w:r>
        <w:rPr>
          <w:rStyle w:val="40"/>
        </w:rPr>
        <w:t>（一）国内升学</w:t>
      </w:r>
      <w:r>
        <w:tab/>
      </w:r>
      <w:r>
        <w:fldChar w:fldCharType="begin"/>
      </w:r>
      <w:r>
        <w:instrText xml:space="preserve"> PAGEREF _Toc27601821 \h </w:instrText>
      </w:r>
      <w:r>
        <w:fldChar w:fldCharType="separate"/>
      </w:r>
      <w:r>
        <w:t>16</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szCs w:val="22"/>
        </w:rPr>
      </w:pPr>
      <w:r>
        <w:fldChar w:fldCharType="begin"/>
      </w:r>
      <w:r>
        <w:instrText xml:space="preserve"> HYPERLINK \l "_Toc27601822" </w:instrText>
      </w:r>
      <w:r>
        <w:fldChar w:fldCharType="separate"/>
      </w:r>
      <w:r>
        <w:rPr>
          <w:rStyle w:val="40"/>
        </w:rPr>
        <w:t>（二）出国（境）</w:t>
      </w:r>
      <w:r>
        <w:tab/>
      </w:r>
      <w:r>
        <w:fldChar w:fldCharType="begin"/>
      </w:r>
      <w:r>
        <w:instrText xml:space="preserve"> PAGEREF _Toc27601822 \h </w:instrText>
      </w:r>
      <w:r>
        <w:fldChar w:fldCharType="separate"/>
      </w:r>
      <w:r>
        <w:t>17</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szCs w:val="22"/>
        </w:rPr>
      </w:pPr>
      <w:r>
        <w:fldChar w:fldCharType="begin"/>
      </w:r>
      <w:r>
        <w:instrText xml:space="preserve"> HYPERLINK \l "_Toc27601823" </w:instrText>
      </w:r>
      <w:r>
        <w:fldChar w:fldCharType="separate"/>
      </w:r>
      <w:r>
        <w:rPr>
          <w:rStyle w:val="40"/>
        </w:rPr>
        <w:t>（三）自主创业</w:t>
      </w:r>
      <w:r>
        <w:tab/>
      </w:r>
      <w:r>
        <w:fldChar w:fldCharType="begin"/>
      </w:r>
      <w:r>
        <w:instrText xml:space="preserve"> PAGEREF _Toc27601823 \h </w:instrText>
      </w:r>
      <w:r>
        <w:fldChar w:fldCharType="separate"/>
      </w:r>
      <w:r>
        <w:t>17</w:t>
      </w:r>
      <w:r>
        <w:fldChar w:fldCharType="end"/>
      </w:r>
      <w:r>
        <w:fldChar w:fldCharType="end"/>
      </w:r>
    </w:p>
    <w:p>
      <w:pPr>
        <w:pStyle w:val="21"/>
        <w:tabs>
          <w:tab w:val="right" w:leader="dot" w:pos="8778"/>
        </w:tabs>
        <w:rPr>
          <w:rFonts w:asciiTheme="minorHAnsi" w:hAnsiTheme="minorHAnsi" w:cstheme="minorBidi"/>
          <w:b w:val="0"/>
          <w:bCs w:val="0"/>
          <w:caps w:val="0"/>
          <w:color w:val="auto"/>
          <w:kern w:val="2"/>
          <w:sz w:val="21"/>
          <w:szCs w:val="22"/>
        </w:rPr>
      </w:pPr>
      <w:r>
        <w:fldChar w:fldCharType="begin"/>
      </w:r>
      <w:r>
        <w:instrText xml:space="preserve"> HYPERLINK \l "_Toc27601824" </w:instrText>
      </w:r>
      <w:r>
        <w:fldChar w:fldCharType="separate"/>
      </w:r>
      <w:r>
        <w:rPr>
          <w:rStyle w:val="40"/>
        </w:rPr>
        <w:t>第二篇：就业创业工作举措</w:t>
      </w:r>
      <w:r>
        <w:tab/>
      </w:r>
      <w:r>
        <w:fldChar w:fldCharType="begin"/>
      </w:r>
      <w:r>
        <w:instrText xml:space="preserve"> PAGEREF _Toc27601824 \h </w:instrText>
      </w:r>
      <w:r>
        <w:fldChar w:fldCharType="separate"/>
      </w:r>
      <w:r>
        <w:t>18</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szCs w:val="22"/>
        </w:rPr>
      </w:pPr>
      <w:r>
        <w:fldChar w:fldCharType="begin"/>
      </w:r>
      <w:r>
        <w:instrText xml:space="preserve"> HYPERLINK \l "_Toc27601825" </w:instrText>
      </w:r>
      <w:r>
        <w:fldChar w:fldCharType="separate"/>
      </w:r>
      <w:r>
        <w:rPr>
          <w:rStyle w:val="40"/>
        </w:rPr>
        <w:t>一、强化组织保障，全力落实“一把手”工程</w:t>
      </w:r>
      <w:r>
        <w:tab/>
      </w:r>
      <w:r>
        <w:fldChar w:fldCharType="begin"/>
      </w:r>
      <w:r>
        <w:instrText xml:space="preserve"> PAGEREF _Toc27601825 \h </w:instrText>
      </w:r>
      <w:r>
        <w:fldChar w:fldCharType="separate"/>
      </w:r>
      <w:r>
        <w:t>18</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szCs w:val="22"/>
        </w:rPr>
      </w:pPr>
      <w:r>
        <w:fldChar w:fldCharType="begin"/>
      </w:r>
      <w:r>
        <w:instrText xml:space="preserve"> HYPERLINK \l "_Toc27601826" </w:instrText>
      </w:r>
      <w:r>
        <w:fldChar w:fldCharType="separate"/>
      </w:r>
      <w:r>
        <w:rPr>
          <w:rStyle w:val="40"/>
        </w:rPr>
        <w:t>二、拓展就业空间，倾力打造两个市场</w:t>
      </w:r>
      <w:r>
        <w:tab/>
      </w:r>
      <w:r>
        <w:fldChar w:fldCharType="begin"/>
      </w:r>
      <w:r>
        <w:instrText xml:space="preserve"> PAGEREF _Toc27601826 \h </w:instrText>
      </w:r>
      <w:r>
        <w:fldChar w:fldCharType="separate"/>
      </w:r>
      <w:r>
        <w:t>19</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szCs w:val="22"/>
        </w:rPr>
      </w:pPr>
      <w:r>
        <w:fldChar w:fldCharType="begin"/>
      </w:r>
      <w:r>
        <w:instrText xml:space="preserve"> HYPERLINK \l "_Toc27601827" </w:instrText>
      </w:r>
      <w:r>
        <w:fldChar w:fldCharType="separate"/>
      </w:r>
      <w:r>
        <w:rPr>
          <w:rStyle w:val="40"/>
        </w:rPr>
        <w:t>三、加强三方联动，合力构建三大平台</w:t>
      </w:r>
      <w:r>
        <w:tab/>
      </w:r>
      <w:r>
        <w:fldChar w:fldCharType="begin"/>
      </w:r>
      <w:r>
        <w:instrText xml:space="preserve"> PAGEREF _Toc27601827 \h </w:instrText>
      </w:r>
      <w:r>
        <w:fldChar w:fldCharType="separate"/>
      </w:r>
      <w:r>
        <w:t>19</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szCs w:val="22"/>
        </w:rPr>
      </w:pPr>
      <w:r>
        <w:fldChar w:fldCharType="begin"/>
      </w:r>
      <w:r>
        <w:instrText xml:space="preserve"> HYPERLINK \l "_Toc27601828" </w:instrText>
      </w:r>
      <w:r>
        <w:fldChar w:fldCharType="separate"/>
      </w:r>
      <w:r>
        <w:rPr>
          <w:rStyle w:val="40"/>
        </w:rPr>
        <w:t>四、提升服务质量，着力完善“四化”建设</w:t>
      </w:r>
      <w:r>
        <w:tab/>
      </w:r>
      <w:r>
        <w:fldChar w:fldCharType="begin"/>
      </w:r>
      <w:r>
        <w:instrText xml:space="preserve"> PAGEREF _Toc27601828 \h </w:instrText>
      </w:r>
      <w:r>
        <w:fldChar w:fldCharType="separate"/>
      </w:r>
      <w:r>
        <w:t>20</w:t>
      </w:r>
      <w:r>
        <w:fldChar w:fldCharType="end"/>
      </w:r>
      <w:r>
        <w:fldChar w:fldCharType="end"/>
      </w:r>
    </w:p>
    <w:p>
      <w:pPr>
        <w:pStyle w:val="21"/>
        <w:tabs>
          <w:tab w:val="right" w:leader="dot" w:pos="8778"/>
        </w:tabs>
        <w:rPr>
          <w:rFonts w:asciiTheme="minorHAnsi" w:hAnsiTheme="minorHAnsi" w:cstheme="minorBidi"/>
          <w:b w:val="0"/>
          <w:bCs w:val="0"/>
          <w:caps w:val="0"/>
          <w:color w:val="auto"/>
          <w:kern w:val="2"/>
          <w:sz w:val="21"/>
          <w:szCs w:val="22"/>
        </w:rPr>
      </w:pPr>
      <w:r>
        <w:fldChar w:fldCharType="begin"/>
      </w:r>
      <w:r>
        <w:instrText xml:space="preserve"> HYPERLINK \l "_Toc27601829" </w:instrText>
      </w:r>
      <w:r>
        <w:fldChar w:fldCharType="separate"/>
      </w:r>
      <w:r>
        <w:rPr>
          <w:rStyle w:val="40"/>
        </w:rPr>
        <w:t>第三篇：就业质量相关分析</w:t>
      </w:r>
      <w:r>
        <w:tab/>
      </w:r>
      <w:r>
        <w:fldChar w:fldCharType="begin"/>
      </w:r>
      <w:r>
        <w:instrText xml:space="preserve"> PAGEREF _Toc27601829 \h </w:instrText>
      </w:r>
      <w:r>
        <w:fldChar w:fldCharType="separate"/>
      </w:r>
      <w:r>
        <w:t>23</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szCs w:val="22"/>
        </w:rPr>
      </w:pPr>
      <w:r>
        <w:fldChar w:fldCharType="begin"/>
      </w:r>
      <w:r>
        <w:instrText xml:space="preserve"> HYPERLINK \l "_Toc27601830" </w:instrText>
      </w:r>
      <w:r>
        <w:fldChar w:fldCharType="separate"/>
      </w:r>
      <w:r>
        <w:rPr>
          <w:rStyle w:val="40"/>
        </w:rPr>
        <w:t>一、毕业生就业质量相关分析</w:t>
      </w:r>
      <w:r>
        <w:tab/>
      </w:r>
      <w:r>
        <w:fldChar w:fldCharType="begin"/>
      </w:r>
      <w:r>
        <w:instrText xml:space="preserve"> PAGEREF _Toc27601830 \h </w:instrText>
      </w:r>
      <w:r>
        <w:fldChar w:fldCharType="separate"/>
      </w:r>
      <w:r>
        <w:t>23</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szCs w:val="22"/>
        </w:rPr>
      </w:pPr>
      <w:r>
        <w:fldChar w:fldCharType="begin"/>
      </w:r>
      <w:r>
        <w:instrText xml:space="preserve"> HYPERLINK \l "_Toc27601831" </w:instrText>
      </w:r>
      <w:r>
        <w:fldChar w:fldCharType="separate"/>
      </w:r>
      <w:r>
        <w:rPr>
          <w:rStyle w:val="40"/>
        </w:rPr>
        <w:t>（一）薪酬水平</w:t>
      </w:r>
      <w:r>
        <w:tab/>
      </w:r>
      <w:r>
        <w:fldChar w:fldCharType="begin"/>
      </w:r>
      <w:r>
        <w:instrText xml:space="preserve"> PAGEREF _Toc27601831 \h </w:instrText>
      </w:r>
      <w:r>
        <w:fldChar w:fldCharType="separate"/>
      </w:r>
      <w:r>
        <w:t>23</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szCs w:val="22"/>
        </w:rPr>
      </w:pPr>
      <w:r>
        <w:fldChar w:fldCharType="begin"/>
      </w:r>
      <w:r>
        <w:instrText xml:space="preserve"> HYPERLINK \l "_Toc27601832" </w:instrText>
      </w:r>
      <w:r>
        <w:fldChar w:fldCharType="separate"/>
      </w:r>
      <w:r>
        <w:rPr>
          <w:rStyle w:val="40"/>
        </w:rPr>
        <w:t>（二）专业相关度</w:t>
      </w:r>
      <w:r>
        <w:tab/>
      </w:r>
      <w:r>
        <w:fldChar w:fldCharType="begin"/>
      </w:r>
      <w:r>
        <w:instrText xml:space="preserve"> PAGEREF _Toc27601832 \h </w:instrText>
      </w:r>
      <w:r>
        <w:fldChar w:fldCharType="separate"/>
      </w:r>
      <w:r>
        <w:t>25</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szCs w:val="22"/>
        </w:rPr>
      </w:pPr>
      <w:r>
        <w:fldChar w:fldCharType="begin"/>
      </w:r>
      <w:r>
        <w:instrText xml:space="preserve"> HYPERLINK \l "_Toc27601833" </w:instrText>
      </w:r>
      <w:r>
        <w:fldChar w:fldCharType="separate"/>
      </w:r>
      <w:r>
        <w:rPr>
          <w:rStyle w:val="40"/>
        </w:rPr>
        <w:t>（三）工作满意度</w:t>
      </w:r>
      <w:r>
        <w:tab/>
      </w:r>
      <w:r>
        <w:fldChar w:fldCharType="begin"/>
      </w:r>
      <w:r>
        <w:instrText xml:space="preserve"> PAGEREF _Toc27601833 \h </w:instrText>
      </w:r>
      <w:r>
        <w:fldChar w:fldCharType="separate"/>
      </w:r>
      <w:r>
        <w:t>28</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szCs w:val="22"/>
        </w:rPr>
      </w:pPr>
      <w:r>
        <w:fldChar w:fldCharType="begin"/>
      </w:r>
      <w:r>
        <w:instrText xml:space="preserve"> HYPERLINK \l "_Toc27601834" </w:instrText>
      </w:r>
      <w:r>
        <w:fldChar w:fldCharType="separate"/>
      </w:r>
      <w:r>
        <w:rPr>
          <w:rStyle w:val="40"/>
        </w:rPr>
        <w:t>（四）职业期待吻合度</w:t>
      </w:r>
      <w:r>
        <w:tab/>
      </w:r>
      <w:r>
        <w:fldChar w:fldCharType="begin"/>
      </w:r>
      <w:r>
        <w:instrText xml:space="preserve"> PAGEREF _Toc27601834 \h </w:instrText>
      </w:r>
      <w:r>
        <w:fldChar w:fldCharType="separate"/>
      </w:r>
      <w:r>
        <w:t>30</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szCs w:val="22"/>
        </w:rPr>
      </w:pPr>
      <w:r>
        <w:fldChar w:fldCharType="begin"/>
      </w:r>
      <w:r>
        <w:instrText xml:space="preserve"> HYPERLINK \l "_Toc27601835" </w:instrText>
      </w:r>
      <w:r>
        <w:fldChar w:fldCharType="separate"/>
      </w:r>
      <w:r>
        <w:rPr>
          <w:rStyle w:val="40"/>
        </w:rPr>
        <w:t>二、用人单位对毕业生的评价</w:t>
      </w:r>
      <w:r>
        <w:tab/>
      </w:r>
      <w:r>
        <w:fldChar w:fldCharType="begin"/>
      </w:r>
      <w:r>
        <w:instrText xml:space="preserve"> PAGEREF _Toc27601835 \h </w:instrText>
      </w:r>
      <w:r>
        <w:fldChar w:fldCharType="separate"/>
      </w:r>
      <w:r>
        <w:t>30</w:t>
      </w:r>
      <w:r>
        <w:fldChar w:fldCharType="end"/>
      </w:r>
      <w:r>
        <w:fldChar w:fldCharType="end"/>
      </w:r>
    </w:p>
    <w:p>
      <w:pPr>
        <w:pStyle w:val="21"/>
        <w:tabs>
          <w:tab w:val="right" w:leader="dot" w:pos="8778"/>
        </w:tabs>
        <w:rPr>
          <w:rFonts w:asciiTheme="minorHAnsi" w:hAnsiTheme="minorHAnsi" w:cstheme="minorBidi"/>
          <w:b w:val="0"/>
          <w:bCs w:val="0"/>
          <w:caps w:val="0"/>
          <w:color w:val="auto"/>
          <w:kern w:val="2"/>
          <w:sz w:val="21"/>
          <w:szCs w:val="22"/>
        </w:rPr>
      </w:pPr>
      <w:r>
        <w:fldChar w:fldCharType="begin"/>
      </w:r>
      <w:r>
        <w:instrText xml:space="preserve"> HYPERLINK \l "_Toc27601836" </w:instrText>
      </w:r>
      <w:r>
        <w:fldChar w:fldCharType="separate"/>
      </w:r>
      <w:r>
        <w:rPr>
          <w:rStyle w:val="40"/>
        </w:rPr>
        <w:t>第四篇：就业发展趋势分析</w:t>
      </w:r>
      <w:r>
        <w:tab/>
      </w:r>
      <w:r>
        <w:fldChar w:fldCharType="begin"/>
      </w:r>
      <w:r>
        <w:instrText xml:space="preserve"> PAGEREF _Toc27601836 \h </w:instrText>
      </w:r>
      <w:r>
        <w:fldChar w:fldCharType="separate"/>
      </w:r>
      <w:r>
        <w:t>33</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szCs w:val="22"/>
        </w:rPr>
      </w:pPr>
      <w:r>
        <w:fldChar w:fldCharType="begin"/>
      </w:r>
      <w:r>
        <w:instrText xml:space="preserve"> HYPERLINK \l "_Toc27601837" </w:instrText>
      </w:r>
      <w:r>
        <w:fldChar w:fldCharType="separate"/>
      </w:r>
      <w:r>
        <w:rPr>
          <w:rStyle w:val="40"/>
        </w:rPr>
        <w:t>一、毕业生就业率稳定且保持在较高水平</w:t>
      </w:r>
      <w:r>
        <w:tab/>
      </w:r>
      <w:r>
        <w:fldChar w:fldCharType="begin"/>
      </w:r>
      <w:r>
        <w:instrText xml:space="preserve"> PAGEREF _Toc27601837 \h </w:instrText>
      </w:r>
      <w:r>
        <w:fldChar w:fldCharType="separate"/>
      </w:r>
      <w:r>
        <w:t>33</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szCs w:val="22"/>
        </w:rPr>
      </w:pPr>
      <w:r>
        <w:fldChar w:fldCharType="begin"/>
      </w:r>
      <w:r>
        <w:instrText xml:space="preserve"> HYPERLINK \l "_Toc27601838" </w:instrText>
      </w:r>
      <w:r>
        <w:fldChar w:fldCharType="separate"/>
      </w:r>
      <w:r>
        <w:rPr>
          <w:rStyle w:val="40"/>
        </w:rPr>
        <w:t>二、毕业生以单位就业为主，升学比例逐年上升</w:t>
      </w:r>
      <w:r>
        <w:tab/>
      </w:r>
      <w:r>
        <w:fldChar w:fldCharType="begin"/>
      </w:r>
      <w:r>
        <w:instrText xml:space="preserve"> PAGEREF _Toc27601838 \h </w:instrText>
      </w:r>
      <w:r>
        <w:fldChar w:fldCharType="separate"/>
      </w:r>
      <w:r>
        <w:t>33</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szCs w:val="22"/>
        </w:rPr>
      </w:pPr>
      <w:r>
        <w:fldChar w:fldCharType="begin"/>
      </w:r>
      <w:r>
        <w:instrText xml:space="preserve"> HYPERLINK \l "_Toc27601839" </w:instrText>
      </w:r>
      <w:r>
        <w:fldChar w:fldCharType="separate"/>
      </w:r>
      <w:r>
        <w:rPr>
          <w:rStyle w:val="40"/>
        </w:rPr>
        <w:t>三、安徽省成为毕业生就业首要选择，服务地方经济发展将成为未来毕业生就业趋势</w:t>
      </w:r>
      <w:r>
        <w:tab/>
      </w:r>
      <w:r>
        <w:fldChar w:fldCharType="begin"/>
      </w:r>
      <w:r>
        <w:instrText xml:space="preserve"> PAGEREF _Toc27601839 \h </w:instrText>
      </w:r>
      <w:r>
        <w:fldChar w:fldCharType="separate"/>
      </w:r>
      <w:r>
        <w:t>34</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szCs w:val="22"/>
        </w:rPr>
      </w:pPr>
      <w:r>
        <w:fldChar w:fldCharType="begin"/>
      </w:r>
      <w:r>
        <w:instrText xml:space="preserve"> HYPERLINK \l "_Toc27601840" </w:instrText>
      </w:r>
      <w:r>
        <w:fldChar w:fldCharType="separate"/>
      </w:r>
      <w:r>
        <w:rPr>
          <w:rStyle w:val="40"/>
        </w:rPr>
        <w:t>四、毕业生就业特色突出，依托其他企业就业，合理分配人才资源</w:t>
      </w:r>
      <w:r>
        <w:tab/>
      </w:r>
      <w:r>
        <w:fldChar w:fldCharType="begin"/>
      </w:r>
      <w:r>
        <w:instrText xml:space="preserve"> PAGEREF _Toc27601840 \h </w:instrText>
      </w:r>
      <w:r>
        <w:fldChar w:fldCharType="separate"/>
      </w:r>
      <w:r>
        <w:t>35</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szCs w:val="22"/>
        </w:rPr>
      </w:pPr>
      <w:r>
        <w:fldChar w:fldCharType="begin"/>
      </w:r>
      <w:r>
        <w:instrText xml:space="preserve"> HYPERLINK \l "_Toc27601841" </w:instrText>
      </w:r>
      <w:r>
        <w:fldChar w:fldCharType="separate"/>
      </w:r>
      <w:r>
        <w:rPr>
          <w:rStyle w:val="40"/>
        </w:rPr>
        <w:t>五、毕业生就业行业呈多元化分布，教育领域优势突出</w:t>
      </w:r>
      <w:r>
        <w:tab/>
      </w:r>
      <w:r>
        <w:fldChar w:fldCharType="begin"/>
      </w:r>
      <w:r>
        <w:instrText xml:space="preserve"> PAGEREF _Toc27601841 \h </w:instrText>
      </w:r>
      <w:r>
        <w:fldChar w:fldCharType="separate"/>
      </w:r>
      <w:r>
        <w:t>36</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szCs w:val="22"/>
        </w:rPr>
      </w:pPr>
      <w:r>
        <w:fldChar w:fldCharType="begin"/>
      </w:r>
      <w:r>
        <w:instrText xml:space="preserve"> HYPERLINK \l "_Toc27601842" </w:instrText>
      </w:r>
      <w:r>
        <w:fldChar w:fldCharType="separate"/>
      </w:r>
      <w:r>
        <w:rPr>
          <w:rStyle w:val="40"/>
        </w:rPr>
        <w:t>六、毕业生就业质量稳步提升，学校人才培养目标愈加契合社会需求</w:t>
      </w:r>
      <w:r>
        <w:tab/>
      </w:r>
      <w:r>
        <w:fldChar w:fldCharType="begin"/>
      </w:r>
      <w:r>
        <w:instrText xml:space="preserve"> PAGEREF _Toc27601842 \h </w:instrText>
      </w:r>
      <w:r>
        <w:fldChar w:fldCharType="separate"/>
      </w:r>
      <w:r>
        <w:t>37</w:t>
      </w:r>
      <w:r>
        <w:fldChar w:fldCharType="end"/>
      </w:r>
      <w:r>
        <w:fldChar w:fldCharType="end"/>
      </w:r>
    </w:p>
    <w:p>
      <w:pPr>
        <w:pStyle w:val="21"/>
        <w:tabs>
          <w:tab w:val="right" w:leader="dot" w:pos="8778"/>
        </w:tabs>
        <w:rPr>
          <w:rFonts w:asciiTheme="minorHAnsi" w:hAnsiTheme="minorHAnsi" w:cstheme="minorBidi"/>
          <w:b w:val="0"/>
          <w:bCs w:val="0"/>
          <w:caps w:val="0"/>
          <w:color w:val="auto"/>
          <w:kern w:val="2"/>
          <w:sz w:val="21"/>
          <w:szCs w:val="22"/>
        </w:rPr>
      </w:pPr>
      <w:r>
        <w:fldChar w:fldCharType="begin"/>
      </w:r>
      <w:r>
        <w:instrText xml:space="preserve"> HYPERLINK \l "_Toc27601843" </w:instrText>
      </w:r>
      <w:r>
        <w:fldChar w:fldCharType="separate"/>
      </w:r>
      <w:r>
        <w:rPr>
          <w:rStyle w:val="40"/>
        </w:rPr>
        <w:t>第五篇：就业对教育教学的反馈</w:t>
      </w:r>
      <w:r>
        <w:tab/>
      </w:r>
      <w:r>
        <w:fldChar w:fldCharType="begin"/>
      </w:r>
      <w:r>
        <w:instrText xml:space="preserve"> PAGEREF _Toc27601843 \h </w:instrText>
      </w:r>
      <w:r>
        <w:fldChar w:fldCharType="separate"/>
      </w:r>
      <w:r>
        <w:t>38</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szCs w:val="22"/>
        </w:rPr>
      </w:pPr>
      <w:r>
        <w:fldChar w:fldCharType="begin"/>
      </w:r>
      <w:r>
        <w:instrText xml:space="preserve"> HYPERLINK \l "_Toc27601844" </w:instrText>
      </w:r>
      <w:r>
        <w:fldChar w:fldCharType="separate"/>
      </w:r>
      <w:r>
        <w:rPr>
          <w:rStyle w:val="40"/>
        </w:rPr>
        <w:t>一、对人才培养的影响</w:t>
      </w:r>
      <w:r>
        <w:tab/>
      </w:r>
      <w:r>
        <w:fldChar w:fldCharType="begin"/>
      </w:r>
      <w:r>
        <w:instrText xml:space="preserve"> PAGEREF _Toc27601844 \h </w:instrText>
      </w:r>
      <w:r>
        <w:fldChar w:fldCharType="separate"/>
      </w:r>
      <w:r>
        <w:t>38</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szCs w:val="22"/>
        </w:rPr>
      </w:pPr>
      <w:r>
        <w:fldChar w:fldCharType="begin"/>
      </w:r>
      <w:r>
        <w:instrText xml:space="preserve"> HYPERLINK \l "_Toc27601845" </w:instrText>
      </w:r>
      <w:r>
        <w:fldChar w:fldCharType="separate"/>
      </w:r>
      <w:r>
        <w:rPr>
          <w:rStyle w:val="40"/>
        </w:rPr>
        <w:t>（一）对人才培养的评价</w:t>
      </w:r>
      <w:r>
        <w:tab/>
      </w:r>
      <w:r>
        <w:fldChar w:fldCharType="begin"/>
      </w:r>
      <w:r>
        <w:instrText xml:space="preserve"> PAGEREF _Toc27601845 \h </w:instrText>
      </w:r>
      <w:r>
        <w:fldChar w:fldCharType="separate"/>
      </w:r>
      <w:r>
        <w:t>38</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szCs w:val="22"/>
        </w:rPr>
      </w:pPr>
      <w:r>
        <w:fldChar w:fldCharType="begin"/>
      </w:r>
      <w:r>
        <w:instrText xml:space="preserve"> HYPERLINK \l "_Toc27601846" </w:instrText>
      </w:r>
      <w:r>
        <w:fldChar w:fldCharType="separate"/>
      </w:r>
      <w:r>
        <w:rPr>
          <w:rStyle w:val="40"/>
        </w:rPr>
        <w:t>（二）人才培养改进措施</w:t>
      </w:r>
      <w:r>
        <w:tab/>
      </w:r>
      <w:r>
        <w:fldChar w:fldCharType="begin"/>
      </w:r>
      <w:r>
        <w:instrText xml:space="preserve"> PAGEREF _Toc27601846 \h </w:instrText>
      </w:r>
      <w:r>
        <w:fldChar w:fldCharType="separate"/>
      </w:r>
      <w:r>
        <w:t>43</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szCs w:val="22"/>
        </w:rPr>
      </w:pPr>
      <w:r>
        <w:fldChar w:fldCharType="begin"/>
      </w:r>
      <w:r>
        <w:instrText xml:space="preserve"> HYPERLINK \l "_Toc27601847" </w:instrText>
      </w:r>
      <w:r>
        <w:fldChar w:fldCharType="separate"/>
      </w:r>
      <w:r>
        <w:rPr>
          <w:rStyle w:val="40"/>
        </w:rPr>
        <w:t>二、对招生和专业设置的影响</w:t>
      </w:r>
      <w:r>
        <w:tab/>
      </w:r>
      <w:r>
        <w:fldChar w:fldCharType="begin"/>
      </w:r>
      <w:r>
        <w:instrText xml:space="preserve"> PAGEREF _Toc27601847 \h </w:instrText>
      </w:r>
      <w:r>
        <w:fldChar w:fldCharType="separate"/>
      </w:r>
      <w:r>
        <w:t>44</w:t>
      </w:r>
      <w:r>
        <w:fldChar w:fldCharType="end"/>
      </w:r>
      <w:r>
        <w:fldChar w:fldCharType="end"/>
      </w:r>
    </w:p>
    <w:p>
      <w:pPr>
        <w:pStyle w:val="27"/>
        <w:tabs>
          <w:tab w:val="right" w:leader="dot" w:pos="8778"/>
        </w:tabs>
        <w:ind w:firstLine="480"/>
        <w:rPr>
          <w:rFonts w:asciiTheme="minorHAnsi" w:hAnsiTheme="minorHAnsi" w:eastAsiaTheme="minorEastAsia" w:cstheme="minorBidi"/>
          <w:smallCaps w:val="0"/>
          <w:color w:val="auto"/>
          <w:kern w:val="2"/>
          <w:sz w:val="21"/>
          <w:szCs w:val="22"/>
        </w:rPr>
      </w:pPr>
      <w:r>
        <w:fldChar w:fldCharType="begin"/>
      </w:r>
      <w:r>
        <w:instrText xml:space="preserve"> HYPERLINK \l "_Toc27601848" </w:instrText>
      </w:r>
      <w:r>
        <w:fldChar w:fldCharType="separate"/>
      </w:r>
      <w:r>
        <w:rPr>
          <w:rStyle w:val="40"/>
        </w:rPr>
        <w:t>三、对就创业指导服务工作的影响</w:t>
      </w:r>
      <w:r>
        <w:tab/>
      </w:r>
      <w:r>
        <w:fldChar w:fldCharType="begin"/>
      </w:r>
      <w:r>
        <w:instrText xml:space="preserve"> PAGEREF _Toc27601848 \h </w:instrText>
      </w:r>
      <w:r>
        <w:fldChar w:fldCharType="separate"/>
      </w:r>
      <w:r>
        <w:t>45</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szCs w:val="22"/>
        </w:rPr>
      </w:pPr>
      <w:r>
        <w:fldChar w:fldCharType="begin"/>
      </w:r>
      <w:r>
        <w:instrText xml:space="preserve"> HYPERLINK \l "_Toc27601849" </w:instrText>
      </w:r>
      <w:r>
        <w:fldChar w:fldCharType="separate"/>
      </w:r>
      <w:r>
        <w:rPr>
          <w:rStyle w:val="40"/>
        </w:rPr>
        <w:t>（一）对就创业指导服务工作的评价</w:t>
      </w:r>
      <w:r>
        <w:tab/>
      </w:r>
      <w:r>
        <w:fldChar w:fldCharType="begin"/>
      </w:r>
      <w:r>
        <w:instrText xml:space="preserve"> PAGEREF _Toc27601849 \h </w:instrText>
      </w:r>
      <w:r>
        <w:fldChar w:fldCharType="separate"/>
      </w:r>
      <w:r>
        <w:t>45</w:t>
      </w:r>
      <w:r>
        <w:fldChar w:fldCharType="end"/>
      </w:r>
      <w:r>
        <w:fldChar w:fldCharType="end"/>
      </w:r>
    </w:p>
    <w:p>
      <w:pPr>
        <w:pStyle w:val="16"/>
        <w:tabs>
          <w:tab w:val="right" w:leader="dot" w:pos="8778"/>
        </w:tabs>
        <w:ind w:firstLine="960"/>
        <w:rPr>
          <w:rFonts w:asciiTheme="minorHAnsi" w:hAnsiTheme="minorHAnsi" w:eastAsiaTheme="minorEastAsia" w:cstheme="minorBidi"/>
          <w:iCs w:val="0"/>
          <w:color w:val="auto"/>
          <w:kern w:val="2"/>
          <w:sz w:val="21"/>
          <w:szCs w:val="22"/>
        </w:rPr>
      </w:pPr>
      <w:r>
        <w:fldChar w:fldCharType="begin"/>
      </w:r>
      <w:r>
        <w:instrText xml:space="preserve"> HYPERLINK \l "_Toc27601850" </w:instrText>
      </w:r>
      <w:r>
        <w:fldChar w:fldCharType="separate"/>
      </w:r>
      <w:r>
        <w:rPr>
          <w:rStyle w:val="40"/>
        </w:rPr>
        <w:t>（二）对就创业指导服务工作改进措施</w:t>
      </w:r>
      <w:r>
        <w:tab/>
      </w:r>
      <w:r>
        <w:fldChar w:fldCharType="begin"/>
      </w:r>
      <w:r>
        <w:instrText xml:space="preserve"> PAGEREF _Toc27601850 \h </w:instrText>
      </w:r>
      <w:r>
        <w:fldChar w:fldCharType="separate"/>
      </w:r>
      <w:r>
        <w:t>47</w:t>
      </w:r>
      <w:r>
        <w:fldChar w:fldCharType="end"/>
      </w:r>
      <w:r>
        <w:fldChar w:fldCharType="end"/>
      </w:r>
    </w:p>
    <w:p>
      <w:pPr>
        <w:pStyle w:val="21"/>
        <w:tabs>
          <w:tab w:val="right" w:leader="dot" w:pos="8778"/>
        </w:tabs>
        <w:rPr>
          <w:rFonts w:asciiTheme="minorHAnsi" w:hAnsiTheme="minorHAnsi" w:cstheme="minorBidi"/>
          <w:b w:val="0"/>
          <w:bCs w:val="0"/>
          <w:caps w:val="0"/>
          <w:color w:val="auto"/>
          <w:kern w:val="2"/>
          <w:sz w:val="21"/>
          <w:szCs w:val="22"/>
        </w:rPr>
      </w:pPr>
      <w:r>
        <w:fldChar w:fldCharType="begin"/>
      </w:r>
      <w:r>
        <w:instrText xml:space="preserve"> HYPERLINK \l "_Toc27601851" </w:instrText>
      </w:r>
      <w:r>
        <w:fldChar w:fldCharType="separate"/>
      </w:r>
      <w:r>
        <w:rPr>
          <w:rStyle w:val="40"/>
        </w:rPr>
        <w:t>结 语</w:t>
      </w:r>
      <w:r>
        <w:tab/>
      </w:r>
      <w:r>
        <w:fldChar w:fldCharType="begin"/>
      </w:r>
      <w:r>
        <w:instrText xml:space="preserve"> PAGEREF _Toc27601851 \h </w:instrText>
      </w:r>
      <w:r>
        <w:fldChar w:fldCharType="separate"/>
      </w:r>
      <w:r>
        <w:t>48</w:t>
      </w:r>
      <w:r>
        <w:fldChar w:fldCharType="end"/>
      </w:r>
      <w:r>
        <w:fldChar w:fldCharType="end"/>
      </w:r>
    </w:p>
    <w:p>
      <w:pPr>
        <w:pStyle w:val="136"/>
        <w:rPr>
          <w:rFonts w:ascii="Times New Roman" w:hAnsi="Times New Roman"/>
          <w:color w:val="auto"/>
        </w:rPr>
        <w:sectPr>
          <w:pgSz w:w="11907" w:h="16160"/>
          <w:pgMar w:top="1418" w:right="1418" w:bottom="1418" w:left="1701" w:header="850" w:footer="397" w:gutter="0"/>
          <w:pgNumType w:fmt="upperRoman" w:start="1"/>
          <w:cols w:space="720" w:num="1"/>
          <w:docGrid w:type="linesAndChars" w:linePitch="312" w:charSpace="0"/>
        </w:sectPr>
      </w:pPr>
      <w:r>
        <w:rPr>
          <w:rFonts w:cs="Times New Roman" w:eastAsiaTheme="minorEastAsia"/>
          <w:color w:val="auto"/>
          <w:sz w:val="20"/>
          <w:szCs w:val="22"/>
        </w:rPr>
        <w:fldChar w:fldCharType="end"/>
      </w:r>
      <w:r>
        <w:rPr>
          <w:rFonts w:eastAsiaTheme="minorEastAsia"/>
          <w:szCs w:val="22"/>
        </w:rPr>
        <w:br w:type="page"/>
      </w:r>
    </w:p>
    <w:p>
      <w:pPr>
        <w:pStyle w:val="169"/>
        <w:spacing w:before="0" w:beforeLines="0" w:after="312"/>
      </w:pPr>
      <w:bookmarkStart w:id="2" w:name="_Toc487789863"/>
      <w:bookmarkStart w:id="3" w:name="_Toc487790044"/>
      <w:bookmarkStart w:id="4" w:name="_Toc27601798"/>
      <w:r>
        <w:rPr>
          <w:rFonts w:hint="eastAsia"/>
        </w:rPr>
        <w:t>学校概况</w:t>
      </w:r>
      <w:bookmarkEnd w:id="2"/>
      <w:bookmarkEnd w:id="3"/>
      <w:bookmarkEnd w:id="4"/>
    </w:p>
    <w:p>
      <w:pPr>
        <w:pStyle w:val="199"/>
        <w:ind w:firstLine="480"/>
      </w:pPr>
      <w:bookmarkStart w:id="5" w:name="_Toc487789864"/>
      <w:bookmarkStart w:id="6" w:name="_Toc487790045"/>
      <w:r>
        <w:rPr>
          <w:rFonts w:hint="eastAsia"/>
        </w:rPr>
        <w:t>皖西学院是经教育部批准设立的省属综合性公办本科院校，办学历史可以追溯到原全国人大副委员长朱蕴山先生1918年创办的“安徽省立第三甲种农业学校”，2000年3月由原六安师范专科学校、皖西联合大学和六安师范学校三校合并组建。学校坐落在荣膺有“国家园林城市”“国家级生态示范区”“中国人居环境范例城市”“中国特色魅力城市200强”等称号的安徽省历史文化名城-六安市。六安依山襟淮，承东接西，区位优越。312、206、105等3条国道，宁西、合九、阜六及沪汉蓉快速铁路通道等4条铁路，沪陕、沪蓉、济广、合阜、合安等5条高速公路纵横全境，距新桥国际机场仅30分钟车程，动车（高铁）从六安到省会合肥仅需24分钟，交通十分便捷，被国家交通部确立为陆路交通运输枢纽城市。</w:t>
      </w:r>
    </w:p>
    <w:p>
      <w:pPr>
        <w:pStyle w:val="199"/>
        <w:ind w:firstLine="480"/>
      </w:pPr>
      <w:r>
        <w:rPr>
          <w:rFonts w:hint="eastAsia"/>
        </w:rPr>
        <w:t>学校位于四面环水、风景秀丽的月亮岛上，校园内建筑设施、自然景观、人文气息相映成趣，构成了全国高校中独具特色的“湖中学府”“岛上高校”的滨水生态校园，被网友誉为“最美岛上大学”。</w:t>
      </w:r>
    </w:p>
    <w:p>
      <w:pPr>
        <w:pStyle w:val="199"/>
        <w:ind w:firstLine="480"/>
      </w:pPr>
      <w:r>
        <w:rPr>
          <w:rFonts w:hint="eastAsia"/>
        </w:rPr>
        <w:t>学校现设有15个二级学院，65个本科专业，招生专业57个，校园占地1581亩，总建筑面积逾46万平方米。图书馆总藏量170多万册，教学科研仪器设备总值2.64亿元。学校现有全日制在校生20032人，在职教职工1089人，专任教师 893人，副高职称以上人员292人（其中正高71人），硕、博士教师698人，省级高层次人才27人。</w:t>
      </w:r>
    </w:p>
    <w:p>
      <w:pPr>
        <w:pStyle w:val="199"/>
        <w:ind w:firstLine="480"/>
      </w:pPr>
      <w:r>
        <w:rPr>
          <w:rFonts w:hint="eastAsia"/>
        </w:rPr>
        <w:t>学校重视科学研究与实践应用，坚持以应用型研究为科研方向，注重产学研合作，以科研促教学，以科研强教学。2014年以来，在各类学术期刊上公开发表学术论文2200余篇，其中被SCI、EI等检索系统收录249篇，出版学术专著、编著59部，编写教材60部。纵向科研项目立项710项，其中国家级项目11项，省部级项目240项。学术成果获国家科技进步二等奖1项，省部级奖11项。获专利634项，其中国家发明专利61项。现有科技创新平台39个，其中植物细胞工程安徽省工程技术研究中心、仿生传感与检测技术省级重点实验室、安徽省农林废弃物综合利用工程技术研究中心、廉政文化研究中心省级高校人文社科重点研究基地、安徽省石斛产业化开发协同创新中心、安徽省羽毛及其制品工程技术研究中心、国家中药材产业技术体系皖西综合实验站、皖西学院安徽省院士工作站、星火创咖省级众创空间、安徽省中药资源保护与持续利用工程实验室及特色植物资源大数据安徽省工程技术研究中心等为省级科技创新平台。《皖西学院学报》被评为全国高校优秀社科期刊、中国高校优秀科技期刊。</w:t>
      </w:r>
    </w:p>
    <w:p>
      <w:pPr>
        <w:pStyle w:val="199"/>
        <w:ind w:firstLine="480"/>
      </w:pPr>
      <w:r>
        <w:rPr>
          <w:rFonts w:hint="eastAsia"/>
        </w:rPr>
        <w:t>近年来，皖西学院加快改革发展步伐， 2013年4月首批通过教育部本科教学审核评估（试点）；2014年7月获批安徽省地方应用型高水平大学立项建设单位，同年获国家科技进步二等奖、国家教学成果二等奖；2017年获批安徽省院士工作站，中药学学科被遴选为安徽省国内一流学科，大别山特色中药资源保育和开发科研团队被遴选为安徽省高校领军人才团队，获批设立“安徽省博士后科研工作站”；2015、2016、2017、2018年连续四年获省委综合考核优秀等次，2017年获批为“安徽省第十一届文明单位”；2018年农林经济管理学科被遴选为安徽省国内一流学科；2019年获批人力资源和社会保障部“国家级专家服务基地”; 2019年被命名为“第一届安徽省文明校园”。</w:t>
      </w:r>
    </w:p>
    <w:p>
      <w:pPr>
        <w:pStyle w:val="199"/>
        <w:ind w:firstLine="480"/>
      </w:pPr>
      <w:r>
        <w:rPr>
          <w:rFonts w:hint="eastAsia"/>
        </w:rPr>
        <w:t>学校积极拓展对外交流与合作，先后与芬兰、英国、美国、加拿大、新西兰、乌克兰、法国、韩国、菲律宾、香港、台湾等国家和地区的高等院校、科研院所建立协作和文化交流关系。</w:t>
      </w:r>
    </w:p>
    <w:p>
      <w:pPr>
        <w:pStyle w:val="199"/>
        <w:ind w:firstLine="480"/>
      </w:pPr>
      <w:r>
        <w:rPr>
          <w:rFonts w:hint="eastAsia"/>
        </w:rPr>
        <w:t>学校秉承“厚德尚能 博学创新”的校训，以转变教育思想观念为先导，以学科专业建设为龙头，以教学为中心，努力培养面向基层，服务一线，德智体美劳全面发展，地方用得上、留得住，具有创新精神和实践能力的应用型高级专门人才。学校坚持以育人为本，注重加强学生思想政治教育，尤其重视利用本地区红色文化对学生进行革命传统教育。</w:t>
      </w:r>
    </w:p>
    <w:p>
      <w:pPr>
        <w:pStyle w:val="199"/>
        <w:ind w:firstLine="480"/>
      </w:pPr>
      <w:r>
        <w:rPr>
          <w:rFonts w:hint="eastAsia"/>
        </w:rPr>
        <w:t>筚路蓝缕弦歌不辍，不忘初心砥砺前行。面向未来，皖西学院坚定不移以习近平新时代中国特色社会主义思想为指导，深入贯彻落实党的十九大和全国教育大会精神，坚持社会主义办学方向，坚持以立德树人为根本任务，走内涵式发展道路，努力把皖西学院建设成为应用型人才培养质量高、办学特色鲜明、服务地方发展能力突出，省内同类院校一流、部分学科专业在全国有一定影响的新型地方应用型高水平大学！</w:t>
      </w:r>
      <w:r>
        <w:t xml:space="preserve"> </w:t>
      </w:r>
    </w:p>
    <w:p>
      <w:pPr>
        <w:pStyle w:val="169"/>
        <w:spacing w:before="156" w:after="312"/>
      </w:pPr>
      <w:bookmarkStart w:id="7" w:name="_Toc27601799"/>
      <w:r>
        <w:rPr>
          <w:rFonts w:hint="eastAsia"/>
        </w:rPr>
        <w:t>报告说明</w:t>
      </w:r>
      <w:bookmarkEnd w:id="5"/>
      <w:bookmarkEnd w:id="6"/>
      <w:bookmarkEnd w:id="7"/>
    </w:p>
    <w:p>
      <w:pPr>
        <w:pStyle w:val="199"/>
        <w:spacing w:before="156" w:beforeLines="50" w:after="156" w:afterLines="50"/>
        <w:ind w:firstLine="480"/>
        <w:rPr>
          <w:lang w:val="zh-CN"/>
        </w:rPr>
      </w:pPr>
      <w:r>
        <w:rPr>
          <w:rFonts w:hint="eastAsia"/>
          <w:lang w:val="zh-CN"/>
        </w:rPr>
        <w:t>为全面反映毕业生的就业状况，建立起就业与人才培养良性互动的长效机制，</w:t>
      </w:r>
      <w:r>
        <w:t>学校</w:t>
      </w:r>
      <w:r>
        <w:rPr>
          <w:rStyle w:val="230"/>
          <w:rFonts w:hint="default" w:ascii="Times New Roman" w:hAnsi="Times New Roman"/>
        </w:rPr>
        <w:t>根据</w:t>
      </w:r>
      <w:r>
        <w:rPr>
          <w:rFonts w:hint="eastAsia"/>
        </w:rPr>
        <w:t>《教育部办公厅关于编制发布高校毕业生就业质量年度报告的通知》（教学厅函</w:t>
      </w:r>
      <w:r>
        <w:rPr>
          <w:rFonts w:hint="eastAsia"/>
          <w:sz w:val="21"/>
          <w:szCs w:val="21"/>
          <w:shd w:val="clear" w:color="auto" w:fill="FFFFFF"/>
        </w:rPr>
        <w:t>〔</w:t>
      </w:r>
      <w:r>
        <w:rPr>
          <w:szCs w:val="21"/>
          <w:shd w:val="clear" w:color="auto" w:fill="FFFFFF"/>
        </w:rPr>
        <w:t>2013</w:t>
      </w:r>
      <w:r>
        <w:rPr>
          <w:rFonts w:hint="eastAsia"/>
          <w:sz w:val="21"/>
          <w:szCs w:val="21"/>
          <w:shd w:val="clear" w:color="auto" w:fill="FFFFFF"/>
        </w:rPr>
        <w:t>〕</w:t>
      </w:r>
      <w:r>
        <w:rPr>
          <w:rFonts w:hint="eastAsia"/>
        </w:rPr>
        <w:t>25号）</w:t>
      </w:r>
      <w:r>
        <w:rPr>
          <w:rStyle w:val="230"/>
          <w:rFonts w:hint="default" w:ascii="Times New Roman" w:hAnsi="Times New Roman"/>
        </w:rPr>
        <w:t>和《教育部关于做好2019届全国普通高等学校毕业生就业创业工作的通知》（教学〔2019〕8号）相关文件精神的要求，</w:t>
      </w:r>
      <w:r>
        <w:rPr>
          <w:rFonts w:hint="eastAsia"/>
        </w:rPr>
        <w:t>结合</w:t>
      </w:r>
      <w:r>
        <w:t>学校实际情况，</w:t>
      </w:r>
      <w:r>
        <w:rPr>
          <w:rFonts w:hint="eastAsia"/>
          <w:lang w:val="zh-CN"/>
        </w:rPr>
        <w:t>编制和正式发布《皖西学院2019届毕业生就业质量年度报告》。本报告数据来源于两个方面：</w:t>
      </w:r>
    </w:p>
    <w:p>
      <w:pPr>
        <w:pStyle w:val="199"/>
        <w:spacing w:before="156" w:beforeLines="50" w:after="156" w:afterLines="50"/>
        <w:ind w:firstLine="480"/>
        <w:rPr>
          <w:lang w:val="zh-CN"/>
        </w:rPr>
      </w:pPr>
      <w:r>
        <w:rPr>
          <w:rFonts w:hint="eastAsia"/>
          <w:lang w:val="zh-CN"/>
        </w:rPr>
        <w:t>1.安徽省教育厅就业系统。数据统计截止日期为2019年12月</w:t>
      </w:r>
      <w:r>
        <w:rPr>
          <w:lang w:val="zh-CN"/>
        </w:rPr>
        <w:t>5</w:t>
      </w:r>
      <w:r>
        <w:rPr>
          <w:rFonts w:hint="eastAsia"/>
          <w:lang w:val="zh-CN"/>
        </w:rPr>
        <w:t>日。使用数据主要涉及毕业生的规模和结构、就业率、毕业去向、就业流向等。</w:t>
      </w:r>
    </w:p>
    <w:p>
      <w:pPr>
        <w:pStyle w:val="199"/>
        <w:spacing w:before="156" w:beforeLines="50" w:after="156" w:afterLines="50"/>
        <w:ind w:firstLine="480"/>
        <w:rPr>
          <w:lang w:val="zh-CN"/>
        </w:rPr>
        <w:sectPr>
          <w:pgSz w:w="11907" w:h="16160"/>
          <w:pgMar w:top="1418" w:right="1418" w:bottom="1418" w:left="1701" w:header="1020" w:footer="397" w:gutter="0"/>
          <w:pgNumType w:fmt="upperRoman" w:start="1"/>
          <w:cols w:space="720" w:num="1"/>
          <w:docGrid w:type="linesAndChars" w:linePitch="312" w:charSpace="0"/>
        </w:sectPr>
      </w:pPr>
      <w:r>
        <w:rPr>
          <w:rFonts w:hint="eastAsia"/>
          <w:lang w:val="zh-CN"/>
        </w:rPr>
        <w:t>2.第三方数据调查公司（新锦成）调研数据。调研面向全校2019届毕业生，有效问卷回收率为53.40%；使用数据涉及就业相关分析及对教育教学的反馈部分。用人单位调研数据，面向本校毕业生所在用人单位；使用数据涉及用人单位对毕业生满意度及能力评价、用人单位对学校就业创业服务工作评价等部分。</w:t>
      </w:r>
      <w:r>
        <w:rPr>
          <w:lang w:val="zh-CN"/>
        </w:rPr>
        <w:br w:type="page"/>
      </w:r>
    </w:p>
    <w:p>
      <w:pPr>
        <w:pStyle w:val="169"/>
        <w:spacing w:before="156" w:after="312"/>
      </w:pPr>
      <w:bookmarkStart w:id="8" w:name="_Toc27601800"/>
      <w:bookmarkStart w:id="9" w:name="_Toc487790046"/>
      <w:bookmarkStart w:id="10" w:name="_Toc487789865"/>
      <w:r>
        <w:rPr>
          <w:rFonts w:hint="eastAsia"/>
        </w:rPr>
        <w:t>总体结论</w:t>
      </w:r>
      <w:bookmarkEnd w:id="8"/>
    </w:p>
    <w:p>
      <w:pPr>
        <w:pStyle w:val="142"/>
        <w:rPr>
          <w:color w:val="4472C4" w:themeColor="accent1"/>
          <w14:textFill>
            <w14:solidFill>
              <w14:schemeClr w14:val="accent1"/>
            </w14:solidFill>
          </w14:textFill>
        </w:rPr>
      </w:pPr>
      <w:bookmarkStart w:id="11" w:name="_Toc520328882"/>
      <w:bookmarkStart w:id="12" w:name="_Toc27601801"/>
      <w:r>
        <w:rPr>
          <w:rFonts w:hint="eastAsia"/>
          <w:color w:val="4472C4" w:themeColor="accent1"/>
          <w14:textFill>
            <w14:solidFill>
              <w14:schemeClr w14:val="accent1"/>
            </w14:solidFill>
          </w14:textFill>
        </w:rPr>
        <w:t>一、</w:t>
      </w:r>
      <w:bookmarkEnd w:id="11"/>
      <w:r>
        <w:rPr>
          <w:rFonts w:hint="eastAsia"/>
          <w:color w:val="4472C4" w:themeColor="accent1"/>
          <w14:textFill>
            <w14:solidFill>
              <w14:schemeClr w14:val="accent1"/>
            </w14:solidFill>
          </w14:textFill>
        </w:rPr>
        <w:t>毕业生就业率和毕业去向</w:t>
      </w:r>
      <w:bookmarkEnd w:id="12"/>
    </w:p>
    <w:p>
      <w:pPr>
        <w:pStyle w:val="199"/>
        <w:spacing w:before="156" w:beforeLines="50" w:after="156" w:afterLines="50"/>
        <w:ind w:firstLine="480"/>
      </w:pPr>
      <w:r>
        <w:rPr>
          <w:rFonts w:hint="eastAsia"/>
        </w:rPr>
        <w:t>皖西学院</w:t>
      </w:r>
      <w:r>
        <w:t>2019届毕业生</w:t>
      </w:r>
      <w:r>
        <w:rPr>
          <w:rFonts w:hint="eastAsia"/>
        </w:rPr>
        <w:t>中超九成毕业生实现就业，就业率为</w:t>
      </w:r>
      <w:r>
        <w:t>96.42%</w:t>
      </w:r>
      <w:r>
        <w:rPr>
          <w:rFonts w:hint="eastAsia"/>
        </w:rPr>
        <w:t>。毕业去向</w:t>
      </w:r>
      <w:r>
        <w:t>分布详见下图。</w:t>
      </w:r>
    </w:p>
    <w:p>
      <w:pPr>
        <w:pStyle w:val="199"/>
        <w:ind w:firstLine="0" w:firstLineChars="0"/>
        <w:jc w:val="center"/>
        <w:rPr>
          <w:color w:val="5B9BD5" w:themeColor="accent5"/>
          <w14:textFill>
            <w14:solidFill>
              <w14:schemeClr w14:val="accent5"/>
            </w14:solidFill>
          </w14:textFill>
        </w:rPr>
      </w:pPr>
      <w:r>
        <w:rPr>
          <w:rFonts w:hint="eastAsia"/>
        </w:rPr>
        <w:drawing>
          <wp:inline distT="0" distB="0" distL="0" distR="0">
            <wp:extent cx="4600575" cy="2828925"/>
            <wp:effectExtent l="0" t="0" r="0" b="9525"/>
            <wp:docPr id="10" name="图示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pPr>
        <w:pStyle w:val="203"/>
        <w:spacing w:before="0" w:beforeLines="0" w:after="0" w:afterLines="0"/>
      </w:pPr>
      <w:bookmarkStart w:id="13" w:name="_Toc27002285"/>
      <w:r>
        <w:t>图1  2019届毕业生就业率及毕业去向</w:t>
      </w:r>
      <w:bookmarkEnd w:id="13"/>
    </w:p>
    <w:p>
      <w:pPr>
        <w:pStyle w:val="142"/>
        <w:rPr>
          <w:color w:val="4472C4" w:themeColor="accent1"/>
          <w14:textFill>
            <w14:solidFill>
              <w14:schemeClr w14:val="accent1"/>
            </w14:solidFill>
          </w14:textFill>
        </w:rPr>
      </w:pPr>
      <w:bookmarkStart w:id="14" w:name="_Toc520328883"/>
      <w:bookmarkStart w:id="15" w:name="_Toc27601802"/>
      <w:r>
        <w:rPr>
          <w:rFonts w:hint="eastAsia"/>
          <w:color w:val="4472C4" w:themeColor="accent1"/>
          <w14:textFill>
            <w14:solidFill>
              <w14:schemeClr w14:val="accent1"/>
            </w14:solidFill>
          </w14:textFill>
        </w:rPr>
        <w:t>二、就业</w:t>
      </w:r>
      <w:bookmarkEnd w:id="14"/>
      <w:r>
        <w:rPr>
          <w:rFonts w:hint="eastAsia"/>
          <w:color w:val="4472C4" w:themeColor="accent1"/>
          <w14:textFill>
            <w14:solidFill>
              <w14:schemeClr w14:val="accent1"/>
            </w14:solidFill>
          </w14:textFill>
        </w:rPr>
        <w:t>分布</w:t>
      </w:r>
      <w:bookmarkEnd w:id="15"/>
    </w:p>
    <w:p>
      <w:pPr>
        <w:pStyle w:val="199"/>
        <w:spacing w:before="156" w:beforeLines="50" w:after="156" w:afterLines="50"/>
        <w:ind w:firstLine="480"/>
      </w:pPr>
      <w:r>
        <w:rPr>
          <w:rFonts w:hint="eastAsia"/>
        </w:rPr>
        <w:t>学校</w:t>
      </w:r>
      <w:r>
        <w:t>2019届毕业生</w:t>
      </w:r>
      <w:r>
        <w:rPr>
          <w:rFonts w:hint="eastAsia"/>
        </w:rPr>
        <w:t>中超过七成毕业生选择在安徽省内就业，服务本地经济发展；就业行业以“教育”为主；就业职业呈多元化分布；就业单位以“其他企业”为主。</w:t>
      </w:r>
    </w:p>
    <w:p>
      <w:pPr>
        <w:pStyle w:val="199"/>
        <w:ind w:firstLine="480"/>
      </w:pPr>
    </w:p>
    <w:p>
      <w:pPr>
        <w:pStyle w:val="199"/>
        <w:ind w:firstLine="480"/>
      </w:pPr>
    </w:p>
    <w:p>
      <w:pPr>
        <w:pStyle w:val="199"/>
        <w:ind w:firstLine="480"/>
      </w:pPr>
    </w:p>
    <w:p>
      <w:pPr>
        <w:pStyle w:val="199"/>
        <w:ind w:firstLine="480"/>
      </w:pPr>
    </w:p>
    <w:p>
      <w:pPr>
        <w:pStyle w:val="199"/>
        <w:ind w:firstLine="480"/>
      </w:pPr>
    </w:p>
    <w:p>
      <w:pPr>
        <w:pStyle w:val="199"/>
        <w:ind w:firstLine="480"/>
      </w:pPr>
    </w:p>
    <w:p>
      <w:pPr>
        <w:pStyle w:val="199"/>
        <w:ind w:firstLine="600"/>
      </w:pPr>
      <w:r>
        <w:rPr>
          <w:rFonts w:asciiTheme="minorHAnsi" w:hAnsiTheme="minorHAnsi"/>
          <w:color w:val="5B9BD5" w:themeColor="accent5"/>
          <w:sz w:val="30"/>
          <w:szCs w:val="20"/>
          <w14:textFill>
            <w14:solidFill>
              <w14:schemeClr w14:val="accent5"/>
            </w14:solidFill>
          </w14:textFill>
        </w:rPr>
        <mc:AlternateContent>
          <mc:Choice Requires="wpg">
            <w:drawing>
              <wp:anchor distT="0" distB="0" distL="114300" distR="114300" simplePos="0" relativeHeight="251940864" behindDoc="0" locked="0" layoutInCell="1" allowOverlap="1">
                <wp:simplePos x="0" y="0"/>
                <wp:positionH relativeFrom="page">
                  <wp:posOffset>2449830</wp:posOffset>
                </wp:positionH>
                <wp:positionV relativeFrom="paragraph">
                  <wp:posOffset>60960</wp:posOffset>
                </wp:positionV>
                <wp:extent cx="3000375" cy="2886075"/>
                <wp:effectExtent l="0" t="0" r="9525" b="9525"/>
                <wp:wrapNone/>
                <wp:docPr id="1" name="组合 5"/>
                <wp:cNvGraphicFramePr/>
                <a:graphic xmlns:a="http://schemas.openxmlformats.org/drawingml/2006/main">
                  <a:graphicData uri="http://schemas.microsoft.com/office/word/2010/wordprocessingGroup">
                    <wpg:wgp>
                      <wpg:cNvGrpSpPr/>
                      <wpg:grpSpPr>
                        <a:xfrm>
                          <a:off x="0" y="0"/>
                          <a:ext cx="3000375" cy="2886075"/>
                          <a:chOff x="0" y="0"/>
                          <a:chExt cx="4660238" cy="4698363"/>
                        </a:xfrm>
                      </wpg:grpSpPr>
                      <wpg:grpSp>
                        <wpg:cNvPr id="2" name="组合 2"/>
                        <wpg:cNvGrpSpPr/>
                        <wpg:grpSpPr>
                          <a:xfrm>
                            <a:off x="0" y="0"/>
                            <a:ext cx="2267871" cy="2267870"/>
                            <a:chOff x="0" y="0"/>
                            <a:chExt cx="2267871" cy="2267870"/>
                          </a:xfrm>
                        </wpg:grpSpPr>
                        <wpg:grpSp>
                          <wpg:cNvPr id="3" name="组合 3"/>
                          <wpg:cNvGrpSpPr/>
                          <wpg:grpSpPr>
                            <a:xfrm>
                              <a:off x="0" y="0"/>
                              <a:ext cx="2267871" cy="2267870"/>
                              <a:chOff x="0" y="0"/>
                              <a:chExt cx="1918953" cy="1918953"/>
                            </a:xfrm>
                          </wpg:grpSpPr>
                          <wps:wsp>
                            <wps:cNvPr id="5" name="任意多边形 5"/>
                            <wps:cNvSpPr/>
                            <wps:spPr>
                              <a:xfrm>
                                <a:off x="1171479" y="1218352"/>
                                <a:ext cx="747474" cy="700601"/>
                              </a:xfrm>
                              <a:custGeom>
                                <a:avLst/>
                                <a:gdLst>
                                  <a:gd name="connsiteX0" fmla="*/ 747474 w 747474"/>
                                  <a:gd name="connsiteY0" fmla="*/ 0 h 700601"/>
                                  <a:gd name="connsiteX1" fmla="*/ 747474 w 747474"/>
                                  <a:gd name="connsiteY1" fmla="*/ 380769 h 700601"/>
                                  <a:gd name="connsiteX2" fmla="*/ 427642 w 747474"/>
                                  <a:gd name="connsiteY2" fmla="*/ 700601 h 700601"/>
                                  <a:gd name="connsiteX3" fmla="*/ 0 w 747474"/>
                                  <a:gd name="connsiteY3" fmla="*/ 700601 h 700601"/>
                                  <a:gd name="connsiteX4" fmla="*/ 218 w 747474"/>
                                  <a:gd name="connsiteY4" fmla="*/ 696279 h 700601"/>
                                  <a:gd name="connsiteX5" fmla="*/ 693786 w 747474"/>
                                  <a:gd name="connsiteY5" fmla="*/ 2711 h 700601"/>
                                  <a:gd name="connsiteX6" fmla="*/ 747474 w 747474"/>
                                  <a:gd name="connsiteY6" fmla="*/ 0 h 7006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47474" h="700601">
                                    <a:moveTo>
                                      <a:pt x="747474" y="0"/>
                                    </a:moveTo>
                                    <a:lnTo>
                                      <a:pt x="747474" y="380769"/>
                                    </a:lnTo>
                                    <a:cubicBezTo>
                                      <a:pt x="747474" y="557407"/>
                                      <a:pt x="604280" y="700601"/>
                                      <a:pt x="427642" y="700601"/>
                                    </a:cubicBezTo>
                                    <a:lnTo>
                                      <a:pt x="0" y="700601"/>
                                    </a:lnTo>
                                    <a:lnTo>
                                      <a:pt x="218" y="696279"/>
                                    </a:lnTo>
                                    <a:cubicBezTo>
                                      <a:pt x="37357" y="330580"/>
                                      <a:pt x="328087" y="39849"/>
                                      <a:pt x="693786" y="2711"/>
                                    </a:cubicBezTo>
                                    <a:lnTo>
                                      <a:pt x="747474" y="0"/>
                                    </a:lnTo>
                                    <a:close/>
                                  </a:path>
                                </a:pathLst>
                              </a:custGeom>
                              <a:gradFill flip="none" rotWithShape="1">
                                <a:gsLst>
                                  <a:gs pos="0">
                                    <a:srgbClr val="5DCCCB"/>
                                  </a:gs>
                                  <a:gs pos="60000">
                                    <a:srgbClr val="36AFB8">
                                      <a:tint val="44500"/>
                                      <a:satMod val="160000"/>
                                    </a:srgbClr>
                                  </a:gs>
                                  <a:gs pos="100000">
                                    <a:srgbClr val="36AFB8">
                                      <a:tint val="23500"/>
                                      <a:satMod val="160000"/>
                                    </a:srgbClr>
                                  </a:gs>
                                </a:gsLst>
                                <a:lin ang="135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任意多边形 8"/>
                            <wps:cNvSpPr/>
                            <wps:spPr>
                              <a:xfrm>
                                <a:off x="0" y="0"/>
                                <a:ext cx="1918953" cy="1918953"/>
                              </a:xfrm>
                              <a:custGeom>
                                <a:avLst/>
                                <a:gdLst>
                                  <a:gd name="connsiteX0" fmla="*/ 319832 w 1918953"/>
                                  <a:gd name="connsiteY0" fmla="*/ 0 h 1918953"/>
                                  <a:gd name="connsiteX1" fmla="*/ 1599121 w 1918953"/>
                                  <a:gd name="connsiteY1" fmla="*/ 0 h 1918953"/>
                                  <a:gd name="connsiteX2" fmla="*/ 1918953 w 1918953"/>
                                  <a:gd name="connsiteY2" fmla="*/ 319832 h 1918953"/>
                                  <a:gd name="connsiteX3" fmla="*/ 1918953 w 1918953"/>
                                  <a:gd name="connsiteY3" fmla="*/ 1218352 h 1918953"/>
                                  <a:gd name="connsiteX4" fmla="*/ 1865265 w 1918953"/>
                                  <a:gd name="connsiteY4" fmla="*/ 1221063 h 1918953"/>
                                  <a:gd name="connsiteX5" fmla="*/ 1171697 w 1918953"/>
                                  <a:gd name="connsiteY5" fmla="*/ 1914631 h 1918953"/>
                                  <a:gd name="connsiteX6" fmla="*/ 1171479 w 1918953"/>
                                  <a:gd name="connsiteY6" fmla="*/ 1918953 h 1918953"/>
                                  <a:gd name="connsiteX7" fmla="*/ 319832 w 1918953"/>
                                  <a:gd name="connsiteY7" fmla="*/ 1918953 h 1918953"/>
                                  <a:gd name="connsiteX8" fmla="*/ 0 w 1918953"/>
                                  <a:gd name="connsiteY8" fmla="*/ 1599121 h 1918953"/>
                                  <a:gd name="connsiteX9" fmla="*/ 0 w 1918953"/>
                                  <a:gd name="connsiteY9" fmla="*/ 319832 h 1918953"/>
                                  <a:gd name="connsiteX10" fmla="*/ 319832 w 1918953"/>
                                  <a:gd name="connsiteY10" fmla="*/ 0 h 19189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18953" h="1918953">
                                    <a:moveTo>
                                      <a:pt x="319832" y="0"/>
                                    </a:moveTo>
                                    <a:lnTo>
                                      <a:pt x="1599121" y="0"/>
                                    </a:lnTo>
                                    <a:cubicBezTo>
                                      <a:pt x="1775759" y="0"/>
                                      <a:pt x="1918953" y="143194"/>
                                      <a:pt x="1918953" y="319832"/>
                                    </a:cubicBezTo>
                                    <a:lnTo>
                                      <a:pt x="1918953" y="1218352"/>
                                    </a:lnTo>
                                    <a:lnTo>
                                      <a:pt x="1865265" y="1221063"/>
                                    </a:lnTo>
                                    <a:cubicBezTo>
                                      <a:pt x="1499566" y="1258201"/>
                                      <a:pt x="1208836" y="1548932"/>
                                      <a:pt x="1171697" y="1914631"/>
                                    </a:cubicBezTo>
                                    <a:lnTo>
                                      <a:pt x="1171479" y="1918953"/>
                                    </a:lnTo>
                                    <a:lnTo>
                                      <a:pt x="319832" y="1918953"/>
                                    </a:lnTo>
                                    <a:cubicBezTo>
                                      <a:pt x="143194" y="1918953"/>
                                      <a:pt x="0" y="1775759"/>
                                      <a:pt x="0" y="1599121"/>
                                    </a:cubicBezTo>
                                    <a:lnTo>
                                      <a:pt x="0" y="319832"/>
                                    </a:lnTo>
                                    <a:cubicBezTo>
                                      <a:pt x="0" y="143194"/>
                                      <a:pt x="143194" y="0"/>
                                      <a:pt x="319832" y="0"/>
                                    </a:cubicBezTo>
                                    <a:close/>
                                  </a:path>
                                </a:pathLst>
                              </a:cu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 name="文本框 27"/>
                          <wps:cNvSpPr txBox="1"/>
                          <wps:spPr>
                            <a:xfrm>
                              <a:off x="177533" y="370591"/>
                              <a:ext cx="1918335" cy="1443628"/>
                            </a:xfrm>
                            <a:prstGeom prst="rect">
                              <a:avLst/>
                            </a:prstGeom>
                            <a:noFill/>
                          </wps:spPr>
                          <wps:txbx>
                            <w:txbxContent>
                              <w:p>
                                <w:pPr>
                                  <w:pStyle w:val="29"/>
                                  <w:spacing w:beforeAutospacing="0" w:after="0" w:afterAutospacing="0" w:line="360" w:lineRule="exact"/>
                                  <w:rPr>
                                    <w:rFonts w:asciiTheme="minorEastAsia" w:hAnsiTheme="minorEastAsia" w:eastAsiaTheme="minorEastAsia" w:cstheme="minorBidi"/>
                                    <w:kern w:val="24"/>
                                    <w:sz w:val="21"/>
                                    <w:szCs w:val="21"/>
                                  </w:rPr>
                                </w:pPr>
                                <w:r>
                                  <w:rPr>
                                    <w:rFonts w:hint="eastAsia" w:asciiTheme="minorEastAsia" w:hAnsiTheme="minorEastAsia" w:eastAsiaTheme="minorEastAsia" w:cstheme="minorBidi"/>
                                    <w:kern w:val="24"/>
                                    <w:sz w:val="21"/>
                                    <w:szCs w:val="21"/>
                                  </w:rPr>
                                  <w:t>超七成毕业生在安徽省内就业</w:t>
                                </w:r>
                              </w:p>
                            </w:txbxContent>
                          </wps:txbx>
                          <wps:bodyPr wrap="square" rtlCol="0">
                            <a:noAutofit/>
                          </wps:bodyPr>
                        </wps:wsp>
                      </wpg:grpSp>
                      <wpg:grpSp>
                        <wpg:cNvPr id="11" name="组合 11"/>
                        <wpg:cNvGrpSpPr/>
                        <wpg:grpSpPr>
                          <a:xfrm>
                            <a:off x="2392366" y="0"/>
                            <a:ext cx="2267872" cy="2267871"/>
                            <a:chOff x="2392366" y="0"/>
                            <a:chExt cx="2267872" cy="2267871"/>
                          </a:xfrm>
                        </wpg:grpSpPr>
                        <wpg:grpSp>
                          <wpg:cNvPr id="12" name="组合 12"/>
                          <wpg:cNvGrpSpPr/>
                          <wpg:grpSpPr>
                            <a:xfrm>
                              <a:off x="2392366" y="0"/>
                              <a:ext cx="2267872" cy="2267871"/>
                              <a:chOff x="2392365" y="0"/>
                              <a:chExt cx="1918953" cy="1918953"/>
                            </a:xfrm>
                          </wpg:grpSpPr>
                          <wps:wsp>
                            <wps:cNvPr id="14" name="任意多边形 14"/>
                            <wps:cNvSpPr/>
                            <wps:spPr>
                              <a:xfrm>
                                <a:off x="2392365" y="1224007"/>
                                <a:ext cx="674496" cy="694946"/>
                              </a:xfrm>
                              <a:custGeom>
                                <a:avLst/>
                                <a:gdLst>
                                  <a:gd name="connsiteX0" fmla="*/ 0 w 674496"/>
                                  <a:gd name="connsiteY0" fmla="*/ 0 h 694946"/>
                                  <a:gd name="connsiteX1" fmla="*/ 57861 w 674496"/>
                                  <a:gd name="connsiteY1" fmla="*/ 8830 h 694946"/>
                                  <a:gd name="connsiteX2" fmla="*/ 674277 w 674496"/>
                                  <a:gd name="connsiteY2" fmla="*/ 690624 h 694946"/>
                                  <a:gd name="connsiteX3" fmla="*/ 674496 w 674496"/>
                                  <a:gd name="connsiteY3" fmla="*/ 694946 h 694946"/>
                                  <a:gd name="connsiteX4" fmla="*/ 319832 w 674496"/>
                                  <a:gd name="connsiteY4" fmla="*/ 694946 h 694946"/>
                                  <a:gd name="connsiteX5" fmla="*/ 0 w 674496"/>
                                  <a:gd name="connsiteY5" fmla="*/ 375114 h 694946"/>
                                  <a:gd name="connsiteX6" fmla="*/ 0 w 674496"/>
                                  <a:gd name="connsiteY6" fmla="*/ 0 h 6949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74496" h="694946">
                                    <a:moveTo>
                                      <a:pt x="0" y="0"/>
                                    </a:moveTo>
                                    <a:lnTo>
                                      <a:pt x="57861" y="8830"/>
                                    </a:lnTo>
                                    <a:cubicBezTo>
                                      <a:pt x="386648" y="76110"/>
                                      <a:pt x="639792" y="351046"/>
                                      <a:pt x="674277" y="690624"/>
                                    </a:cubicBezTo>
                                    <a:lnTo>
                                      <a:pt x="674496" y="694946"/>
                                    </a:lnTo>
                                    <a:lnTo>
                                      <a:pt x="319832" y="694946"/>
                                    </a:lnTo>
                                    <a:cubicBezTo>
                                      <a:pt x="143194" y="694946"/>
                                      <a:pt x="0" y="551752"/>
                                      <a:pt x="0" y="375114"/>
                                    </a:cubicBezTo>
                                    <a:lnTo>
                                      <a:pt x="0" y="0"/>
                                    </a:lnTo>
                                    <a:close/>
                                  </a:path>
                                </a:pathLst>
                              </a:custGeom>
                              <a:gradFill flip="none" rotWithShape="1">
                                <a:gsLst>
                                  <a:gs pos="0">
                                    <a:srgbClr val="EF8046"/>
                                  </a:gs>
                                  <a:gs pos="67000">
                                    <a:srgbClr val="E7A044">
                                      <a:tint val="44500"/>
                                      <a:satMod val="160000"/>
                                    </a:srgbClr>
                                  </a:gs>
                                  <a:gs pos="100000">
                                    <a:srgbClr val="E7A044">
                                      <a:tint val="23500"/>
                                      <a:satMod val="160000"/>
                                    </a:srgbClr>
                                  </a:gs>
                                </a:gsLst>
                                <a:path path="circle">
                                  <a:fillToRect t="100000" r="100000"/>
                                </a:path>
                                <a:tileRect l="-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任意多边形 15"/>
                            <wps:cNvSpPr/>
                            <wps:spPr>
                              <a:xfrm>
                                <a:off x="2392365" y="0"/>
                                <a:ext cx="1918953" cy="1918953"/>
                              </a:xfrm>
                              <a:custGeom>
                                <a:avLst/>
                                <a:gdLst>
                                  <a:gd name="connsiteX0" fmla="*/ 319832 w 1918953"/>
                                  <a:gd name="connsiteY0" fmla="*/ 0 h 1918953"/>
                                  <a:gd name="connsiteX1" fmla="*/ 1599121 w 1918953"/>
                                  <a:gd name="connsiteY1" fmla="*/ 0 h 1918953"/>
                                  <a:gd name="connsiteX2" fmla="*/ 1918953 w 1918953"/>
                                  <a:gd name="connsiteY2" fmla="*/ 319832 h 1918953"/>
                                  <a:gd name="connsiteX3" fmla="*/ 1918953 w 1918953"/>
                                  <a:gd name="connsiteY3" fmla="*/ 1599121 h 1918953"/>
                                  <a:gd name="connsiteX4" fmla="*/ 1599121 w 1918953"/>
                                  <a:gd name="connsiteY4" fmla="*/ 1918953 h 1918953"/>
                                  <a:gd name="connsiteX5" fmla="*/ 674496 w 1918953"/>
                                  <a:gd name="connsiteY5" fmla="*/ 1918953 h 1918953"/>
                                  <a:gd name="connsiteX6" fmla="*/ 674277 w 1918953"/>
                                  <a:gd name="connsiteY6" fmla="*/ 1914631 h 1918953"/>
                                  <a:gd name="connsiteX7" fmla="*/ 57861 w 1918953"/>
                                  <a:gd name="connsiteY7" fmla="*/ 1232837 h 1918953"/>
                                  <a:gd name="connsiteX8" fmla="*/ 0 w 1918953"/>
                                  <a:gd name="connsiteY8" fmla="*/ 1224007 h 1918953"/>
                                  <a:gd name="connsiteX9" fmla="*/ 0 w 1918953"/>
                                  <a:gd name="connsiteY9" fmla="*/ 319832 h 1918953"/>
                                  <a:gd name="connsiteX10" fmla="*/ 319832 w 1918953"/>
                                  <a:gd name="connsiteY10" fmla="*/ 0 h 19189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18953" h="1918953">
                                    <a:moveTo>
                                      <a:pt x="319832" y="0"/>
                                    </a:moveTo>
                                    <a:lnTo>
                                      <a:pt x="1599121" y="0"/>
                                    </a:lnTo>
                                    <a:cubicBezTo>
                                      <a:pt x="1775759" y="0"/>
                                      <a:pt x="1918953" y="143194"/>
                                      <a:pt x="1918953" y="319832"/>
                                    </a:cubicBezTo>
                                    <a:lnTo>
                                      <a:pt x="1918953" y="1599121"/>
                                    </a:lnTo>
                                    <a:cubicBezTo>
                                      <a:pt x="1918953" y="1775759"/>
                                      <a:pt x="1775759" y="1918953"/>
                                      <a:pt x="1599121" y="1918953"/>
                                    </a:cubicBezTo>
                                    <a:lnTo>
                                      <a:pt x="674496" y="1918953"/>
                                    </a:lnTo>
                                    <a:lnTo>
                                      <a:pt x="674277" y="1914631"/>
                                    </a:lnTo>
                                    <a:cubicBezTo>
                                      <a:pt x="639792" y="1575053"/>
                                      <a:pt x="386648" y="1300117"/>
                                      <a:pt x="57861" y="1232837"/>
                                    </a:cubicBezTo>
                                    <a:lnTo>
                                      <a:pt x="0" y="1224007"/>
                                    </a:lnTo>
                                    <a:lnTo>
                                      <a:pt x="0" y="319832"/>
                                    </a:lnTo>
                                    <a:cubicBezTo>
                                      <a:pt x="0" y="143194"/>
                                      <a:pt x="143194" y="0"/>
                                      <a:pt x="319832" y="0"/>
                                    </a:cubicBezTo>
                                    <a:close/>
                                  </a:path>
                                </a:pathLst>
                              </a:cu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 name="文本框 28"/>
                          <wps:cNvSpPr txBox="1"/>
                          <wps:spPr>
                            <a:xfrm>
                              <a:off x="2708771" y="333684"/>
                              <a:ext cx="1783300" cy="1375049"/>
                            </a:xfrm>
                            <a:prstGeom prst="rect">
                              <a:avLst/>
                            </a:prstGeom>
                            <a:noFill/>
                          </wps:spPr>
                          <wps:txbx>
                            <w:txbxContent>
                              <w:p>
                                <w:pPr>
                                  <w:pStyle w:val="29"/>
                                  <w:spacing w:beforeAutospacing="0" w:after="0" w:afterAutospacing="0" w:line="360" w:lineRule="exact"/>
                                  <w:rPr>
                                    <w:rFonts w:asciiTheme="minorEastAsia" w:hAnsiTheme="minorEastAsia" w:eastAsiaTheme="minorEastAsia" w:cstheme="minorBidi"/>
                                    <w:kern w:val="24"/>
                                    <w:sz w:val="21"/>
                                    <w:szCs w:val="21"/>
                                  </w:rPr>
                                </w:pPr>
                                <w:r>
                                  <w:rPr>
                                    <w:rFonts w:hint="eastAsia" w:asciiTheme="minorEastAsia" w:hAnsiTheme="minorEastAsia" w:eastAsiaTheme="minorEastAsia" w:cstheme="minorBidi"/>
                                    <w:kern w:val="24"/>
                                    <w:sz w:val="21"/>
                                    <w:szCs w:val="21"/>
                                  </w:rPr>
                                  <w:t>就业行业分布</w:t>
                                </w:r>
                                <w:r>
                                  <w:rPr>
                                    <w:rFonts w:asciiTheme="minorEastAsia" w:hAnsiTheme="minorEastAsia" w:eastAsiaTheme="minorEastAsia" w:cstheme="minorBidi"/>
                                    <w:kern w:val="24"/>
                                    <w:sz w:val="21"/>
                                    <w:szCs w:val="21"/>
                                  </w:rPr>
                                  <w:t>以“</w:t>
                                </w:r>
                                <w:r>
                                  <w:rPr>
                                    <w:rFonts w:hint="eastAsia" w:asciiTheme="minorEastAsia" w:hAnsiTheme="minorEastAsia" w:eastAsiaTheme="minorEastAsia" w:cstheme="minorBidi"/>
                                    <w:kern w:val="24"/>
                                    <w:sz w:val="21"/>
                                    <w:szCs w:val="21"/>
                                  </w:rPr>
                                  <w:t>教育</w:t>
                                </w:r>
                                <w:r>
                                  <w:rPr>
                                    <w:rFonts w:asciiTheme="minorEastAsia" w:hAnsiTheme="minorEastAsia" w:eastAsiaTheme="minorEastAsia" w:cstheme="minorBidi"/>
                                    <w:kern w:val="24"/>
                                    <w:sz w:val="21"/>
                                    <w:szCs w:val="21"/>
                                  </w:rPr>
                                  <w:t>”</w:t>
                                </w:r>
                                <w:r>
                                  <w:rPr>
                                    <w:rFonts w:hint="eastAsia" w:asciiTheme="minorEastAsia" w:hAnsiTheme="minorEastAsia" w:eastAsiaTheme="minorEastAsia" w:cstheme="minorBidi"/>
                                    <w:kern w:val="24"/>
                                    <w:sz w:val="21"/>
                                    <w:szCs w:val="21"/>
                                  </w:rPr>
                                  <w:t>为主</w:t>
                                </w:r>
                              </w:p>
                            </w:txbxContent>
                          </wps:txbx>
                          <wps:bodyPr wrap="square" rtlCol="0">
                            <a:noAutofit/>
                          </wps:bodyPr>
                        </wps:wsp>
                      </wpg:grpSp>
                      <wpg:grpSp>
                        <wpg:cNvPr id="19" name="组合 19"/>
                        <wpg:cNvGrpSpPr/>
                        <wpg:grpSpPr>
                          <a:xfrm>
                            <a:off x="0" y="2430493"/>
                            <a:ext cx="2267870" cy="2267870"/>
                            <a:chOff x="0" y="2430493"/>
                            <a:chExt cx="2267870" cy="2267870"/>
                          </a:xfrm>
                        </wpg:grpSpPr>
                        <wpg:grpSp>
                          <wpg:cNvPr id="21" name="组合 21"/>
                          <wpg:cNvGrpSpPr/>
                          <wpg:grpSpPr>
                            <a:xfrm>
                              <a:off x="0" y="2430493"/>
                              <a:ext cx="2267870" cy="2267870"/>
                              <a:chOff x="0" y="2430494"/>
                              <a:chExt cx="1918953" cy="1918953"/>
                            </a:xfrm>
                          </wpg:grpSpPr>
                          <wps:wsp>
                            <wps:cNvPr id="24" name="任意多边形 24"/>
                            <wps:cNvSpPr/>
                            <wps:spPr>
                              <a:xfrm>
                                <a:off x="1171588" y="2430494"/>
                                <a:ext cx="747365" cy="698450"/>
                              </a:xfrm>
                              <a:custGeom>
                                <a:avLst/>
                                <a:gdLst>
                                  <a:gd name="connsiteX0" fmla="*/ 0 w 747365"/>
                                  <a:gd name="connsiteY0" fmla="*/ 0 h 698450"/>
                                  <a:gd name="connsiteX1" fmla="*/ 427533 w 747365"/>
                                  <a:gd name="connsiteY1" fmla="*/ 0 h 698450"/>
                                  <a:gd name="connsiteX2" fmla="*/ 747365 w 747365"/>
                                  <a:gd name="connsiteY2" fmla="*/ 319832 h 698450"/>
                                  <a:gd name="connsiteX3" fmla="*/ 747365 w 747365"/>
                                  <a:gd name="connsiteY3" fmla="*/ 698450 h 698450"/>
                                  <a:gd name="connsiteX4" fmla="*/ 693677 w 747365"/>
                                  <a:gd name="connsiteY4" fmla="*/ 695739 h 698450"/>
                                  <a:gd name="connsiteX5" fmla="*/ 109 w 747365"/>
                                  <a:gd name="connsiteY5" fmla="*/ 2171 h 698450"/>
                                  <a:gd name="connsiteX6" fmla="*/ 0 w 747365"/>
                                  <a:gd name="connsiteY6" fmla="*/ 0 h 698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47365" h="698450">
                                    <a:moveTo>
                                      <a:pt x="0" y="0"/>
                                    </a:moveTo>
                                    <a:lnTo>
                                      <a:pt x="427533" y="0"/>
                                    </a:lnTo>
                                    <a:cubicBezTo>
                                      <a:pt x="604171" y="0"/>
                                      <a:pt x="747365" y="143194"/>
                                      <a:pt x="747365" y="319832"/>
                                    </a:cubicBezTo>
                                    <a:lnTo>
                                      <a:pt x="747365" y="698450"/>
                                    </a:lnTo>
                                    <a:lnTo>
                                      <a:pt x="693677" y="695739"/>
                                    </a:lnTo>
                                    <a:cubicBezTo>
                                      <a:pt x="327978" y="658601"/>
                                      <a:pt x="37248" y="367871"/>
                                      <a:pt x="109" y="2171"/>
                                    </a:cubicBezTo>
                                    <a:lnTo>
                                      <a:pt x="0" y="0"/>
                                    </a:lnTo>
                                    <a:close/>
                                  </a:path>
                                </a:pathLst>
                              </a:custGeom>
                              <a:gradFill flip="none" rotWithShape="1">
                                <a:gsLst>
                                  <a:gs pos="0">
                                    <a:srgbClr val="4EB389"/>
                                  </a:gs>
                                  <a:gs pos="58000">
                                    <a:srgbClr val="4EB389">
                                      <a:tint val="44500"/>
                                      <a:satMod val="160000"/>
                                    </a:srgbClr>
                                  </a:gs>
                                  <a:gs pos="100000">
                                    <a:srgbClr val="4EB389">
                                      <a:tint val="23500"/>
                                      <a:satMod val="160000"/>
                                    </a:srgbClr>
                                  </a:gs>
                                </a:gsLst>
                                <a:path path="circle">
                                  <a:fillToRect l="100000" b="100000"/>
                                </a:path>
                                <a:tileRect t="-100000" r="-10000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任意多边形 25"/>
                            <wps:cNvSpPr/>
                            <wps:spPr>
                              <a:xfrm>
                                <a:off x="0" y="2430494"/>
                                <a:ext cx="1918953" cy="1918953"/>
                              </a:xfrm>
                              <a:custGeom>
                                <a:avLst/>
                                <a:gdLst>
                                  <a:gd name="connsiteX0" fmla="*/ 319832 w 1918953"/>
                                  <a:gd name="connsiteY0" fmla="*/ 0 h 1918953"/>
                                  <a:gd name="connsiteX1" fmla="*/ 1171588 w 1918953"/>
                                  <a:gd name="connsiteY1" fmla="*/ 0 h 1918953"/>
                                  <a:gd name="connsiteX2" fmla="*/ 1171697 w 1918953"/>
                                  <a:gd name="connsiteY2" fmla="*/ 2171 h 1918953"/>
                                  <a:gd name="connsiteX3" fmla="*/ 1865265 w 1918953"/>
                                  <a:gd name="connsiteY3" fmla="*/ 695739 h 1918953"/>
                                  <a:gd name="connsiteX4" fmla="*/ 1918953 w 1918953"/>
                                  <a:gd name="connsiteY4" fmla="*/ 698450 h 1918953"/>
                                  <a:gd name="connsiteX5" fmla="*/ 1918953 w 1918953"/>
                                  <a:gd name="connsiteY5" fmla="*/ 1599121 h 1918953"/>
                                  <a:gd name="connsiteX6" fmla="*/ 1599121 w 1918953"/>
                                  <a:gd name="connsiteY6" fmla="*/ 1918953 h 1918953"/>
                                  <a:gd name="connsiteX7" fmla="*/ 319832 w 1918953"/>
                                  <a:gd name="connsiteY7" fmla="*/ 1918953 h 1918953"/>
                                  <a:gd name="connsiteX8" fmla="*/ 0 w 1918953"/>
                                  <a:gd name="connsiteY8" fmla="*/ 1599121 h 1918953"/>
                                  <a:gd name="connsiteX9" fmla="*/ 0 w 1918953"/>
                                  <a:gd name="connsiteY9" fmla="*/ 319832 h 1918953"/>
                                  <a:gd name="connsiteX10" fmla="*/ 319832 w 1918953"/>
                                  <a:gd name="connsiteY10" fmla="*/ 0 h 19189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18953" h="1918953">
                                    <a:moveTo>
                                      <a:pt x="319832" y="0"/>
                                    </a:moveTo>
                                    <a:lnTo>
                                      <a:pt x="1171588" y="0"/>
                                    </a:lnTo>
                                    <a:lnTo>
                                      <a:pt x="1171697" y="2171"/>
                                    </a:lnTo>
                                    <a:cubicBezTo>
                                      <a:pt x="1208836" y="367871"/>
                                      <a:pt x="1499566" y="658601"/>
                                      <a:pt x="1865265" y="695739"/>
                                    </a:cubicBezTo>
                                    <a:lnTo>
                                      <a:pt x="1918953" y="698450"/>
                                    </a:lnTo>
                                    <a:lnTo>
                                      <a:pt x="1918953" y="1599121"/>
                                    </a:lnTo>
                                    <a:cubicBezTo>
                                      <a:pt x="1918953" y="1775759"/>
                                      <a:pt x="1775759" y="1918953"/>
                                      <a:pt x="1599121" y="1918953"/>
                                    </a:cubicBezTo>
                                    <a:lnTo>
                                      <a:pt x="319832" y="1918953"/>
                                    </a:lnTo>
                                    <a:cubicBezTo>
                                      <a:pt x="143194" y="1918953"/>
                                      <a:pt x="0" y="1775759"/>
                                      <a:pt x="0" y="1599121"/>
                                    </a:cubicBezTo>
                                    <a:lnTo>
                                      <a:pt x="0" y="319832"/>
                                    </a:lnTo>
                                    <a:cubicBezTo>
                                      <a:pt x="0" y="143194"/>
                                      <a:pt x="143194" y="0"/>
                                      <a:pt x="319832" y="0"/>
                                    </a:cubicBezTo>
                                    <a:close/>
                                  </a:path>
                                </a:pathLst>
                              </a:cu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7" name="文本框 29"/>
                          <wps:cNvSpPr txBox="1"/>
                          <wps:spPr>
                            <a:xfrm>
                              <a:off x="177533" y="2936348"/>
                              <a:ext cx="1777632" cy="1653047"/>
                            </a:xfrm>
                            <a:prstGeom prst="rect">
                              <a:avLst/>
                            </a:prstGeom>
                            <a:noFill/>
                          </wps:spPr>
                          <wps:txbx>
                            <w:txbxContent>
                              <w:p>
                                <w:pPr>
                                  <w:pStyle w:val="29"/>
                                  <w:spacing w:beforeAutospacing="0" w:after="0" w:afterAutospacing="0" w:line="360" w:lineRule="exact"/>
                                  <w:rPr>
                                    <w:rFonts w:cstheme="minorBidi"/>
                                    <w:kern w:val="24"/>
                                    <w:sz w:val="21"/>
                                    <w:szCs w:val="21"/>
                                  </w:rPr>
                                </w:pPr>
                                <w:r>
                                  <w:rPr>
                                    <w:rFonts w:hint="eastAsia" w:cstheme="minorBidi"/>
                                    <w:kern w:val="24"/>
                                    <w:sz w:val="21"/>
                                    <w:szCs w:val="21"/>
                                  </w:rPr>
                                  <w:t>就业职业</w:t>
                                </w:r>
                                <w:r>
                                  <w:rPr>
                                    <w:rFonts w:cstheme="minorBidi"/>
                                    <w:kern w:val="24"/>
                                    <w:sz w:val="21"/>
                                    <w:szCs w:val="21"/>
                                  </w:rPr>
                                  <w:t>呈多元化分布</w:t>
                                </w:r>
                              </w:p>
                            </w:txbxContent>
                          </wps:txbx>
                          <wps:bodyPr wrap="square" rtlCol="0">
                            <a:noAutofit/>
                          </wps:bodyPr>
                        </wps:wsp>
                      </wpg:grpSp>
                      <wpg:grpSp>
                        <wpg:cNvPr id="32" name="组合 32"/>
                        <wpg:cNvGrpSpPr/>
                        <wpg:grpSpPr>
                          <a:xfrm>
                            <a:off x="2392363" y="2429658"/>
                            <a:ext cx="2267871" cy="2267873"/>
                            <a:chOff x="2392363" y="2429658"/>
                            <a:chExt cx="2267871" cy="2267873"/>
                          </a:xfrm>
                        </wpg:grpSpPr>
                        <wpg:grpSp>
                          <wpg:cNvPr id="37" name="组合 37"/>
                          <wpg:cNvGrpSpPr/>
                          <wpg:grpSpPr>
                            <a:xfrm>
                              <a:off x="2392363" y="2429658"/>
                              <a:ext cx="2267871" cy="2267873"/>
                              <a:chOff x="2392366" y="2429785"/>
                              <a:chExt cx="1918953" cy="1918953"/>
                            </a:xfrm>
                          </wpg:grpSpPr>
                          <wps:wsp>
                            <wps:cNvPr id="38" name="任意多边形 38"/>
                            <wps:cNvSpPr/>
                            <wps:spPr>
                              <a:xfrm>
                                <a:off x="2392373" y="2430493"/>
                                <a:ext cx="674389" cy="692796"/>
                              </a:xfrm>
                              <a:custGeom>
                                <a:avLst/>
                                <a:gdLst>
                                  <a:gd name="connsiteX0" fmla="*/ 319832 w 674387"/>
                                  <a:gd name="connsiteY0" fmla="*/ 0 h 692796"/>
                                  <a:gd name="connsiteX1" fmla="*/ 674387 w 674387"/>
                                  <a:gd name="connsiteY1" fmla="*/ 0 h 692796"/>
                                  <a:gd name="connsiteX2" fmla="*/ 674277 w 674387"/>
                                  <a:gd name="connsiteY2" fmla="*/ 2172 h 692796"/>
                                  <a:gd name="connsiteX3" fmla="*/ 57861 w 674387"/>
                                  <a:gd name="connsiteY3" fmla="*/ 683966 h 692796"/>
                                  <a:gd name="connsiteX4" fmla="*/ 0 w 674387"/>
                                  <a:gd name="connsiteY4" fmla="*/ 692796 h 692796"/>
                                  <a:gd name="connsiteX5" fmla="*/ 0 w 674387"/>
                                  <a:gd name="connsiteY5" fmla="*/ 319832 h 692796"/>
                                  <a:gd name="connsiteX6" fmla="*/ 319832 w 674387"/>
                                  <a:gd name="connsiteY6" fmla="*/ 0 h 6927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74387" h="692796">
                                    <a:moveTo>
                                      <a:pt x="319832" y="0"/>
                                    </a:moveTo>
                                    <a:lnTo>
                                      <a:pt x="674387" y="0"/>
                                    </a:lnTo>
                                    <a:lnTo>
                                      <a:pt x="674277" y="2172"/>
                                    </a:lnTo>
                                    <a:cubicBezTo>
                                      <a:pt x="639792" y="341750"/>
                                      <a:pt x="386648" y="616686"/>
                                      <a:pt x="57861" y="683966"/>
                                    </a:cubicBezTo>
                                    <a:lnTo>
                                      <a:pt x="0" y="692796"/>
                                    </a:lnTo>
                                    <a:lnTo>
                                      <a:pt x="0" y="319832"/>
                                    </a:lnTo>
                                    <a:cubicBezTo>
                                      <a:pt x="0" y="143194"/>
                                      <a:pt x="143194" y="0"/>
                                      <a:pt x="319832" y="0"/>
                                    </a:cubicBezTo>
                                    <a:close/>
                                  </a:path>
                                </a:pathLst>
                              </a:custGeom>
                              <a:gradFill flip="none" rotWithShape="1">
                                <a:gsLst>
                                  <a:gs pos="0">
                                    <a:srgbClr val="FEC74C"/>
                                  </a:gs>
                                  <a:gs pos="21000">
                                    <a:srgbClr val="DEA5B4"/>
                                  </a:gs>
                                  <a:gs pos="100000">
                                    <a:srgbClr val="DEA5D9">
                                      <a:tint val="23500"/>
                                      <a:satMod val="160000"/>
                                    </a:srgbClr>
                                  </a:gs>
                                </a:gsLst>
                                <a:path path="circle">
                                  <a:fillToRect r="100000" b="100000"/>
                                </a:path>
                                <a:tileRect l="-100000" t="-10000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任意多边形 39"/>
                            <wps:cNvSpPr/>
                            <wps:spPr>
                              <a:xfrm>
                                <a:off x="2392366" y="2429785"/>
                                <a:ext cx="1918953" cy="1918953"/>
                              </a:xfrm>
                              <a:custGeom>
                                <a:avLst/>
                                <a:gdLst>
                                  <a:gd name="connsiteX0" fmla="*/ 674387 w 1918953"/>
                                  <a:gd name="connsiteY0" fmla="*/ 0 h 1918953"/>
                                  <a:gd name="connsiteX1" fmla="*/ 1599121 w 1918953"/>
                                  <a:gd name="connsiteY1" fmla="*/ 0 h 1918953"/>
                                  <a:gd name="connsiteX2" fmla="*/ 1918953 w 1918953"/>
                                  <a:gd name="connsiteY2" fmla="*/ 319832 h 1918953"/>
                                  <a:gd name="connsiteX3" fmla="*/ 1918953 w 1918953"/>
                                  <a:gd name="connsiteY3" fmla="*/ 1599121 h 1918953"/>
                                  <a:gd name="connsiteX4" fmla="*/ 1599121 w 1918953"/>
                                  <a:gd name="connsiteY4" fmla="*/ 1918953 h 1918953"/>
                                  <a:gd name="connsiteX5" fmla="*/ 319832 w 1918953"/>
                                  <a:gd name="connsiteY5" fmla="*/ 1918953 h 1918953"/>
                                  <a:gd name="connsiteX6" fmla="*/ 0 w 1918953"/>
                                  <a:gd name="connsiteY6" fmla="*/ 1599121 h 1918953"/>
                                  <a:gd name="connsiteX7" fmla="*/ 0 w 1918953"/>
                                  <a:gd name="connsiteY7" fmla="*/ 692796 h 1918953"/>
                                  <a:gd name="connsiteX8" fmla="*/ 57861 w 1918953"/>
                                  <a:gd name="connsiteY8" fmla="*/ 683966 h 1918953"/>
                                  <a:gd name="connsiteX9" fmla="*/ 674277 w 1918953"/>
                                  <a:gd name="connsiteY9" fmla="*/ 2172 h 1918953"/>
                                  <a:gd name="connsiteX10" fmla="*/ 674387 w 1918953"/>
                                  <a:gd name="connsiteY10" fmla="*/ 0 h 19189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18953" h="1918953">
                                    <a:moveTo>
                                      <a:pt x="674387" y="0"/>
                                    </a:moveTo>
                                    <a:lnTo>
                                      <a:pt x="1599121" y="0"/>
                                    </a:lnTo>
                                    <a:cubicBezTo>
                                      <a:pt x="1775759" y="0"/>
                                      <a:pt x="1918953" y="143194"/>
                                      <a:pt x="1918953" y="319832"/>
                                    </a:cubicBezTo>
                                    <a:lnTo>
                                      <a:pt x="1918953" y="1599121"/>
                                    </a:lnTo>
                                    <a:cubicBezTo>
                                      <a:pt x="1918953" y="1775759"/>
                                      <a:pt x="1775759" y="1918953"/>
                                      <a:pt x="1599121" y="1918953"/>
                                    </a:cubicBezTo>
                                    <a:lnTo>
                                      <a:pt x="319832" y="1918953"/>
                                    </a:lnTo>
                                    <a:cubicBezTo>
                                      <a:pt x="143194" y="1918953"/>
                                      <a:pt x="0" y="1775759"/>
                                      <a:pt x="0" y="1599121"/>
                                    </a:cubicBezTo>
                                    <a:lnTo>
                                      <a:pt x="0" y="692796"/>
                                    </a:lnTo>
                                    <a:lnTo>
                                      <a:pt x="57861" y="683966"/>
                                    </a:lnTo>
                                    <a:cubicBezTo>
                                      <a:pt x="386648" y="616686"/>
                                      <a:pt x="639792" y="341750"/>
                                      <a:pt x="674277" y="2172"/>
                                    </a:cubicBezTo>
                                    <a:lnTo>
                                      <a:pt x="674387" y="0"/>
                                    </a:lnTo>
                                    <a:close/>
                                  </a:path>
                                </a:pathLst>
                              </a:cu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10" name="文本框 30"/>
                          <wps:cNvSpPr txBox="1"/>
                          <wps:spPr>
                            <a:xfrm>
                              <a:off x="2738359" y="2936348"/>
                              <a:ext cx="1708338" cy="1665613"/>
                            </a:xfrm>
                            <a:prstGeom prst="rect">
                              <a:avLst/>
                            </a:prstGeom>
                            <a:noFill/>
                          </wps:spPr>
                          <wps:txbx>
                            <w:txbxContent>
                              <w:p>
                                <w:pPr>
                                  <w:pStyle w:val="29"/>
                                  <w:spacing w:beforeAutospacing="0" w:after="0" w:afterAutospacing="0" w:line="360" w:lineRule="exact"/>
                                  <w:rPr>
                                    <w:rFonts w:asciiTheme="minorEastAsia" w:hAnsiTheme="minorEastAsia" w:eastAsiaTheme="minorEastAsia" w:cstheme="minorBidi"/>
                                    <w:kern w:val="24"/>
                                    <w:sz w:val="21"/>
                                    <w:szCs w:val="21"/>
                                  </w:rPr>
                                </w:pPr>
                                <w:r>
                                  <w:rPr>
                                    <w:rFonts w:hint="eastAsia" w:asciiTheme="minorEastAsia" w:hAnsiTheme="minorEastAsia" w:eastAsiaTheme="minorEastAsia" w:cstheme="minorBidi"/>
                                    <w:kern w:val="24"/>
                                    <w:sz w:val="21"/>
                                    <w:szCs w:val="21"/>
                                  </w:rPr>
                                  <w:t>“其他企业”为</w:t>
                                </w:r>
                                <w:r>
                                  <w:rPr>
                                    <w:rFonts w:asciiTheme="minorEastAsia" w:hAnsiTheme="minorEastAsia" w:eastAsiaTheme="minorEastAsia" w:cstheme="minorBidi"/>
                                    <w:kern w:val="24"/>
                                    <w:sz w:val="21"/>
                                    <w:szCs w:val="21"/>
                                  </w:rPr>
                                  <w:t>毕业生的主要选择</w:t>
                                </w:r>
                              </w:p>
                            </w:txbxContent>
                          </wps:txbx>
                          <wps:bodyPr wrap="square" rtlCol="0">
                            <a:noAutofit/>
                          </wps:bodyPr>
                        </wps:wsp>
                      </wpg:grpSp>
                    </wpg:wgp>
                  </a:graphicData>
                </a:graphic>
              </wp:anchor>
            </w:drawing>
          </mc:Choice>
          <mc:Fallback>
            <w:pict>
              <v:group id="组合 5" o:spid="_x0000_s1026" o:spt="203" style="position:absolute;left:0pt;margin-left:192.9pt;margin-top:4.8pt;height:227.25pt;width:236.25pt;mso-position-horizontal-relative:page;z-index:251940864;mso-width-relative:page;mso-height-relative:page;" coordsize="4660238,4698363" o:gfxdata="UEsDBAoAAAAAAIdO4kAAAAAAAAAAAAAAAAAEAAAAZHJzL1BLAwQUAAAACACHTuJAirD4bNkAAAAJ&#10;AQAADwAAAGRycy9kb3ducmV2LnhtbE2PQUvDQBSE74L/YXmCN7tZ04Ya81KkqKci2Ari7TX7moRm&#10;d0N2m7T/3vVkj8MMM98Uq7PpxMiDb51FULMEBNvK6dbWCF+7t4clCB/IauqcZYQLe1iVtzcF5dpN&#10;9pPHbahFLLE+J4QmhD6X0lcNG/Iz17ON3sENhkKUQy31QFMsN518TJJMGmptXGio53XD1XF7Mgjv&#10;E00vqXodN8fD+vKzW3x8bxQj3t+p5BlE4HP4D8MffkSHMjLt3clqLzqEdLmI6AHhKQMR/ShTEHuE&#10;eTZXIMtCXj8ofwFQSwMEFAAAAAgAh07iQDc8ZMO2EAAA020AAA4AAABkcnMvZTJvRG9jLnhtbO1d&#10;S48buRG+B8h/aOgYYHfUD/VjsPbCz73kschuEPsoazQaARq1opY945wXSW7JKYcglwQ55g8Ei+TX&#10;ZJ38jHzFYnUXpVaz5fGM7Y1gwCNNs1hksVisjx/Z89nn15eL4NV0Xc3L5b1B+OlwEEyXk/Jsvpzd&#10;G/zi66ef5IOg2oyXZ+NFuZzeG7yeVoPP7//wB59drU6nUXlRLs6m6wCVLKvTq9W9wcVmszo9Oakm&#10;F9PLcfVpuZou8fC8XF+ON/i6np2crcdXqP1ycRINh+nJVbk+W63LybSq8NvH/HBw39R/fj6dbH52&#10;fl5NN8Hi3gBt25j/1+b/F/T/yf3Pxqez9Xh1MZ/YZozfohWX4/kSSuuqHo834+Dler5T1eV8si6r&#10;8nzz6aS8PCnPz+eTqekDehMOt3rzxbp8uTJ9mZ1ezVa1mWDaLTu9dbWTn776ch3MzzB2g2A5vsQQ&#10;/efbb777w++CEdnmajU7RZEv1quvVl+u7S9m/I26e32+vqSf6Ehwbaz6urbq9HoTTPDLeDgcxtlo&#10;EEzwLMrzdIgvxu6TCwzOjtzk4omVTNJ0GMXwIJJM0iKP05gkT0TxCbWvbk795XYNFW0ZKnpXhoqi&#10;NMszjIMxlPliHdRnqH2S79dQ8ZahzNi9C4/a193xqc9QYRHmxQgNIxPLly6PQlSqmolX3WzifXUx&#10;Xk3NfK5oVtmJh5nBE+/f33775pvff/e3P/33X//47p9/lRloytbTrzqtMBNb5l4YZmGSFYOAehaF&#10;eTwyjjk+lXmYJfSPu54hdA5DZy7BeC+rzRfT0kzo8asfVxszSWdn+GRC25lt56RcLqv5ZvoMAfX8&#10;coF4+aOTgGsPruwHnuCzbZHnWmQYXARNQxA7t0s/w1w4VIEWifNhlhZeLZjQtZYkytIk8nZDi3AX&#10;vFrgdLWWoVeBLt1TAYa2VoDx96rQ5dMijTK/peCqtYq0iLM89WrRIlEWhl47pUpHT6fSIq5TIQDW&#10;/ju+EJeeXC+tT+NTMKZUZWhW71VZ0XKkHRyzSb7CeTlUQIomhEcYnqiFZbb1E4aDaWEzldGZfsJw&#10;Hi0sa2Y/YbiFFk4O6jNGWwubdb53szGMWjjVmrkSO2prpHWU0C1MQrcZBEjo1oMACd0Ljjur8YYG&#10;mwaJPgZX9wYS/S7wkYMfPb0sX02/Lk25DY28lEI7ZLCbIovlnqIcZ2xzpdTk5Yv55OH013tkRqMs&#10;GWa2uUZ3OkyiHPERunVUXJmHHJe2HpJRHC2im2W260JxKSA/uSCihamZo0CPfsRZPMqMSBwPR2i0&#10;WSm4shidyO3DIk8K/YxjhhGkWGA1dfWhZUCk7ZNFWU15QtIgm7SwHnhjmmY5Q4Z/9nS+WATnizlQ&#10;xhJYBF5Tbn4531yYVZnyX3KDWWX9ZlYFiAYSGKr17MWjxTp4NYbbjR4/evTooW38rGIxLp0i1+VQ&#10;4kjE6YOnD3OjYDNfbriaJBmhrLFcNd78pDzjX4dcB3fM1mL65moKSVNfVVF8uCpYsDbGYm7DZEgV&#10;kd6gmowXUwMbTA8288X055iW3GwxN5lmsaTpF0bwaeQeY1j/fDHGnJ1criBeLWeDYLyYATxONmtj&#10;oWVJI2VqXa2rzeNxdcGWqcrF/IwNdon0Yx0s5pf3Bjk3iBUvEJgBCiRJok8vyrPXyLTWm8WjkkHg&#10;eDm5KBEySCGJUSlkeYR27iDdw1RrT/dyagw1AamhP93jyW39R1I8yWj3prc3TPLiEBiMsiNRZEZp&#10;J2/byfK6iztpXjgqCqSvfh060aNF36NDZ2y2qF+HFrJ99yrSmVtvRY4QJ+/+LukELszTUZSO/F1y&#10;hKIoHKaxX5NO4ghnpEXm1+QIFWGSxpT8eYZJp3IW0fg1OUKM8PyasETVuWxfv9YyMrbeLmHC14oo&#10;8e+2wHNdXCaDVwdg3yE6dPG+fh0i4tQ6+hrMEdqapbTACLY85ua9IAUmr86QP5Dc3IuEOBusYZTJ&#10;eilB69VnTk1rYbNK9hbm7ZBa2CSjvYXJebW58Z2zDNNwruYGiETiQABIIp8pYWoAh02ozaJrmiIN&#10;aIpIMsxFbbxwykoJN8u25bNslI3YSDaVsA9knwz9DxPMduNqQFMGjEhryTocCcQwHWhEC6n9KZhR&#10;Wig/rRJe0UxfQl6orBYp19qjpChGKSPJMBrl2FUnqbrl0TDHLjJXOkryIjbIun7Maxs/5iWrT8/0&#10;zps1HDuKtFR+cs+sych6YhS3eHvHzChsCUnD2VNDO5yqw/YBJ1U9+sLlnUGVxre1yla/6yH8G2qt&#10;41eq6+LLbrWHgDqDBwgr0Pg6eOtpRP8Mmli8vKyhVUHgxRpBIyunoo8IrzT0xx1hF0QKxi5v/vjb&#10;N3/++5u//CaITDRXsCXYXD8ssZVi5h39ft9+NZw15p2qOBuOCjtPNZSJY+SQZqc+SeI0ktAvpBOh&#10;Q9qvDugDdoAAP82Qy941QosUIQ+pceUWQNxcv7jGjKGmWqx4BT4Q0PRXL8dr2iaokSPX8uDlpjyf&#10;G6TbyGgY6Q6LJahul5PCXoodGcve8ebKgWRLFBdRbIOnnbYyHEy5AA813JQdsJpyaZFuqLx98hgj&#10;Hs7GaMRu3BGVF6JDDumJXxhXOIj1bOn4wWaDozexsjGbrA97Af222e5gAyNEFtq+g4EndiL12sJg&#10;u3HPscInQ9kPFeulWZIUWKzJ59IiKRLZEpYIcCPGirCY1WAWTP82RtMGgi7WCJJcOrsYI1AjtIfR&#10;Xb/ewkBaQvioW4Xej0DVUUYwvFuHI1IM0yjxatGbEVy5V4sjYkbKq0VvRHBa4NWiRdhQXi3wrhq0&#10;+gdcl8aRhTD0G0vvPfgVuKX1cCMQHtHwkanCVrmdzwQLbTSgvKOBfAwiOPOWbLZ5Ktk6lzJxyCwt&#10;FF9s6itF3MzbYpM8TROG3FkaMuIVkJHGRVYgniAax6NwyNG4fmjCkXmYmjBjlblKRDUrk55uh3cp&#10;JT9t0xoc3ERJBR9dTSxjsSs1uZGRJrMJR6Mwk6MSLGQxkJn/PXrhjoS0+RAgI3TJO2GnnjzN7dBQ&#10;SHHZKXAwLZTRk+zBMElM6nzb7FSrqpuyU4bipf9A6czXkwUdsRmfngMYfl0SJ0Wn/ixdRkyx/Yg1&#10;HwZi5nB8KvwV0cqfSGEQyvKZS8tAUf0fEU4kmHLrx5hCLJ570kJ7lLAns6XTwi0U4k2Hj/wWncWy&#10;ZkI+JQbbk+Dq5NDmYF6qQad6vRU5Qpbh82rS6Z4wId4uOUJ9uSCd99UZr8d2Wkbs4O2Szv+giBN4&#10;jyItg6L9eDTNVAkY8ejRImGEYxxxhvS6W+iZZqsOJbcY8vl1aLaqhw5dvK9TOzxVjUa6+/7cETqS&#10;WzgQimmOTEsQ8fPvQzp/JLdO3+a4nUyd/0dyyyFbajzgUGMWnWiWbZe7ETqH5pTY0yzkVtrq2XqM&#10;pNZFQtICllKYS9WpYNROcSxSZlqjOK09PUCkAooh+MUhDtyrdscNxAxxNwSnPPTTBrHaNag3AlNb&#10;iHu7Y6EdI0nO6aW/rtE0EmwhQI/0FviR2z6O1+xt3xG9FSLV2uG3to/l9eW3cOAxz+g2D2ZvHMdp&#10;bil02dwOsxyHZ+GQhuDCbuOQz8rCd2V7W9irI8GF+CdDIwSXOctxIMHF0z9KYtjaxiQZDiao7HDI&#10;FxO1aoKrRbphakREEWSy3/YeCa5omxfEL9Cp92Y2Owcas8ka9CERXBEwZPtOBp4Y6/XcyaADjKOc&#10;d1PZ6bZiAE63xymAJBNcOQ6E29VOIsCNCS6rwTjyDmW1c04XVyxtG3wEF6Ar2HvsMHQr0AwX01td&#10;CvR2BNfrVaBFarDX3Q29F9FTixbhyg3x1NUXvQ+Baw+poeq6jeWKjLKYLmR198XZhBgWXnPp8hG8&#10;06tAbz4Q9u7ugVtaNx6r2pHe+j7gYQwkjj/e4Nij9SCmt8wMent6i6OQSbEkcnal87hhBZ9vigsR&#10;JE0inLVzlE095ADTA5AomWb+7gUlHB5Ms9KCpr3V0NWVGNc1M15Z0hGu1NvDOAxb4iyyHB7iDt0o&#10;N+HfosYhMil0lGZ/j55wzrNj3Pd19Sp58jDOxT4uuYVraG3klpUgH7ttcqtV1a2TWyCsFF/VTW6B&#10;CBNCi5gw+Qz3oPhs78gdya3dO/oRFs49KeFh5JbGEFvJoDcV/gjILU54kSdIZ/Ykntt5YXfxZzrL&#10;633/SAvZXMejRqd5vS9UaSEO335GQ2d6tk1+m2mhOgn19Ejne70VOUJ9yTqd+vUm6xyhvmSd5qn6&#10;UjVaRuxwq9xWX7NpsurIbWGRRnLZ9UYGzt5qhqlOYXpdJUJEQOZTC5uzvpzP0prn0Yx5roW/D7m8&#10;t8+88V8b7Hhxy7xKQmLuu+S2eOE0LradbAsMsPk7SuL67XYOL4XaWIxQXXpqAQTqxtQulLDLoFHn&#10;gBNXkai3bVS8Vg/8U9uT8NcHTZ5ZAEiBQBrNubP037WKtUZDFikhwZ6cEArVp4CafeDYw61elLIa&#10;Lu9AVCngiuniu3BXnZg0jijtVF0XB3WrPeTAo3Ph6nhz6w5O5+Ga1i61ZSmUeje7L7VF3mqvbkXY&#10;2oyx2WAcV7gUPM9S3KzkTf10BLpFlg7Z2D5SW/X738hQjC0ttcV3Ug/kaPjUJCcpURIVCOXuoDBB&#10;hfypucFlKbCa4NpbR8PX7KsFadR7pLni2rvFhPZW4lvc43oXJgSuwRJBw5Dl9bsun9i3Wsoi8CFR&#10;XvSSzfb9DTzB3KYTxP3vdGViwxaeFedPaAfPUl7YxXynd7pqPGjU2IMlfXgvaYiP9+J6Ada7FWzv&#10;b6RFlwK9U4F662tdMd6jZQLrbg+0CDY3IkPkdOnAkNQXoeRAaHcftESax0WaepXoLQpCs90KdGk2&#10;kFeB3prwK9ClrWcQJ9VlJr0j0dOZtAhznKKANlWPbzghF+6NsuETGmWbLdLewhhvLfwBvX3QTgQm&#10;vYx7tJFeLTn2votdUiH6K+m4ZPvyk/N8FJQDfBQn7GBIGTeFtxLqmhf4Mj6TUMOA5vBeGqZpbqK3&#10;PGzO7nG8kJF3jj6Kag1DmjmJsZYC8lMXtBZij5ICbZ2w6GmHzbsTeCNMyju5z/X0yaMseWRN6VJe&#10;eHtXG+X1+MmD0UOZOa6EpYfI+RzYRSKPi60rYLdOXTWXsejdnd3Ulb6XpWgs9gQx+JG62qWuQCfv&#10;S+228R+MSYnenhd2MDpoSW1r2CfbPuZEo/3CAySw70bnmTjm+YkSzP061dm6luFL73ozF9sJniT1&#10;6G6bDp2u2aL+fmihOn3xKNJJW29FjlBf5kJnb73N5gj1JXxa0jgvwahlxA5ewsfN5Lw6dHGxgFcH&#10;kKpyTq8OXbzOkT0+oO9kSarfLeK8dLDO9btlnmnqirMMv0trGQtbPFqcS1Z9I4AjtBUCjkn5Znq8&#10;meWlvvhsVU19mV2Q3kAEbq6BiBxYMu8N9Gom59XS+M6LqBHnNtzg/J3MNx97xXPNNEUasA+MCGlD&#10;zZayXcm5sB11eQEQddtQUQs1IfkFnjpAwAUAoplxg1OlQ6ZIOVe6ReqObmYp9CeN5nHvbOhdkks9&#10;YNoeCNjVBXUfbBdSqqtk8Q4Y5VXHuKjCtu54imYe1xanlgJH/uqAN6Xf+dWsgqIi71A37x7kN9qo&#10;vem+BFaUxfj7OByl9zBYQ9zOwhpgoEyajtJQDnwIlPkYGCwzTPjLYXK+k/7KGf1pMv0dn/XfYrv/&#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gT&#10;AABbQ29udGVudF9UeXBlc10ueG1sUEsBAhQACgAAAAAAh07iQAAAAAAAAAAAAAAAAAYAAAAAAAAA&#10;AAAQAAAAChIAAF9yZWxzL1BLAQIUABQAAAAIAIdO4kCKFGY80QAAAJQBAAALAAAAAAAAAAEAIAAA&#10;AC4SAABfcmVscy8ucmVsc1BLAQIUAAoAAAAAAIdO4kAAAAAAAAAAAAAAAAAEAAAAAAAAAAAAEAAA&#10;AAAAAABkcnMvUEsBAhQAFAAAAAgAh07iQIqw+GzZAAAACQEAAA8AAAAAAAAAAQAgAAAAIgAAAGRy&#10;cy9kb3ducmV2LnhtbFBLAQIUABQAAAAIAIdO4kA3PGTDthAAANNtAAAOAAAAAAAAAAEAIAAAACgB&#10;AABkcnMvZTJvRG9jLnhtbFBLBQYAAAAABgAGAFkBAABQFAAAAAA=&#10;">
                <o:lock v:ext="edit" aspectratio="f"/>
                <v:group id="_x0000_s1026" o:spid="_x0000_s1026" o:spt="203" style="position:absolute;left:0;top:0;height:2267870;width:2267871;" coordsize="2267871,2267870" o:gfxdata="UEsDBAoAAAAAAIdO4kAAAAAAAAAAAAAAAAAEAAAAZHJzL1BLAwQUAAAACACHTuJA+xvRD7sAAADa&#10;AAAADwAAAGRycy9kb3ducmV2LnhtbEWPQYvCMBSE7wv+h/AEb2taxUWqUURUPIiwKoi3R/Nsi81L&#10;aWKr/94IgsdhZr5hpvOHKUVDtSssK4j7EQji1OqCMwWn4/p3DMJ5ZI2lZVLwJAfzWedniom2Lf9T&#10;c/CZCBB2CSrIva8SKV2ak0HXtxVx8K62NuiDrDOpa2wD3JRyEEV/0mDBYSHHipY5pbfD3SjYtNgu&#10;hvGq2d2uy+flONqfdzEp1evG0QSEp4f/hj/trVYwgP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sb0Q+7AAAA2gAAAA8AAAAAAAAAAQAgAAAAIgAAAGRycy9kb3ducmV2LnhtbFBL&#10;AQIUABQAAAAIAIdO4kAzLwWeOwAAADkAAAAVAAAAAAAAAAEAIAAAAAoBAABkcnMvZ3JvdXBzaGFw&#10;ZXhtbC54bWxQSwUGAAAAAAYABgBgAQAAxwMAAAAA&#10;">
                  <o:lock v:ext="edit" aspectratio="f"/>
                  <v:group id="_x0000_s1026" o:spid="_x0000_s1026" o:spt="203" style="position:absolute;left:0;top:0;height:2267870;width:2267871;" coordsize="1918953,1918953" o:gfxdata="UEsDBAoAAAAAAIdO4kAAAAAAAAAAAAAAAAAEAAAAZHJzL1BLAwQUAAAACACHTuJAlFd0lL0AAADa&#10;AAAADwAAAGRycy9kb3ducmV2LnhtbEWPT2vCQBTE7wW/w/IK3uomFYukrqGIFQ8iVAXp7ZF9JiHZ&#10;tyG75s+3d4VCj8PM/IZZpYOpRUetKy0riGcRCOLM6pJzBZfz99sShPPIGmvLpGAkB+l68rLCRNue&#10;f6g7+VwECLsEFRTeN4mULivIoJvZhjh4N9sa9EG2udQt9gFuavkeRR/SYMlhocCGNgVl1eluFOx6&#10;7L/m8bY7VLfN+HteHK+HmJSavsbRJwhPg/8P/7X3WsEcnlfCDZDr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Fd0lL0AAADaAAAADwAAAAAAAAABACAAAAAiAAAAZHJzL2Rvd25yZXYueG1s&#10;UEsBAhQAFAAAAAgAh07iQDMvBZ47AAAAOQAAABUAAAAAAAAAAQAgAAAADAEAAGRycy9ncm91cHNo&#10;YXBleG1sLnhtbFBLBQYAAAAABgAGAGABAADJAwAAAAA=&#10;">
                    <o:lock v:ext="edit" aspectratio="f"/>
                    <v:shape id="_x0000_s1026" o:spid="_x0000_s1026" o:spt="100" style="position:absolute;left:1171479;top:1218352;height:700601;width:747474;v-text-anchor:middle;" fillcolor="#5DCCCB" filled="t" stroked="f" coordsize="747474,700601" o:gfxdata="UEsDBAoAAAAAAIdO4kAAAAAAAAAAAAAAAAAEAAAAZHJzL1BLAwQUAAAACACHTuJATIrUVL8AAADa&#10;AAAADwAAAGRycy9kb3ducmV2LnhtbEWP3WrCQBSE74W+w3IKvdONAcVGV2kTBUsDRVvw9pA9Jmmz&#10;Z8Pu1p+37xYEL4eZ+YZZrC6mEydyvrWsYDxKQBBXVrdcK/j63AxnIHxA1thZJgVX8rBaPgwWmGl7&#10;5h2d9qEWEcI+QwVNCH0mpa8aMuhHtieO3tE6gyFKV0vt8BzhppNpkkylwZbjQoM95Q1VP/tfo2C3&#10;PuRvzy/XsvywM7f9fi3ej2mh1NPjOJmDCHQJ9/CtvdUKJvB/Jd4A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K1FS/&#10;AAAA2gAAAA8AAAAAAAAAAQAgAAAAIgAAAGRycy9kb3ducmV2LnhtbFBLAQIUABQAAAAIAIdO4kAz&#10;LwWeOwAAADkAAAAQAAAAAAAAAAEAIAAAAA4BAABkcnMvc2hhcGV4bWwueG1sUEsFBgAAAAAGAAYA&#10;WwEAALgDAAAAAA==&#10;" path="m747474,0l747474,380769c747474,557407,604280,700601,427642,700601l0,700601,218,696279c37357,330580,328087,39849,693786,2711l747474,0xe">
                      <v:path o:connectlocs="747474,0;747474,380769;427642,700601;0,700601;218,696279;693786,2711;747474,0" o:connectangles="0,0,0,0,0,0,0"/>
                      <v:fill type="gradient" on="t" color2="#E0F2F5" colors="0f #5DCCCB;39322f #BFE7EB;65536f #E0F2F5" angle="225" focus="100%" focussize="0,0" rotate="t"/>
                      <v:stroke on="f" weight="1pt" miterlimit="8" joinstyle="miter"/>
                      <v:imagedata o:title=""/>
                      <o:lock v:ext="edit" aspectratio="f"/>
                    </v:shape>
                    <v:shape id="_x0000_s1026" o:spid="_x0000_s1026" o:spt="100" style="position:absolute;left:0;top:0;height:1918953;width:1918953;v-text-anchor:middle;" fillcolor="#F2F2F2 [3052]" filled="t" stroked="f" coordsize="1918953,1918953" o:gfxdata="UEsDBAoAAAAAAIdO4kAAAAAAAAAAAAAAAAAEAAAAZHJzL1BLAwQUAAAACACHTuJAk5SdFroAAADa&#10;AAAADwAAAGRycy9kb3ducmV2LnhtbEVPu2rDMBTdC/0HcQvdGslOKcGJ4qEmoUOgzWPIeGPdWKbW&#10;lZHUPP6+GgodD+e9qG9uEBcKsfesoZgoEMStNz13Gg771csMREzIBgfPpOFOEerl48MCK+OvvKXL&#10;LnUih3CsUINNaaykjK0lh3HiR+LMnX1wmDIMnTQBrzncDbJU6k067Dk3WBzp3VL7vftxGrDcnoqp&#10;O359Tq26v242ZdOEtdbPT4Wag0h0S//iP/eH0ZC35iv5Bsjl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lJ0WugAAANoA&#10;AAAPAAAAAAAAAAEAIAAAACIAAABkcnMvZG93bnJldi54bWxQSwECFAAUAAAACACHTuJAMy8FnjsA&#10;AAA5AAAAEAAAAAAAAAABACAAAAAJAQAAZHJzL3NoYXBleG1sLnhtbFBLBQYAAAAABgAGAFsBAACz&#10;AwAAAAA=&#10;" path="m319832,0l1599121,0c1775759,0,1918953,143194,1918953,319832l1918953,1218352,1865265,1221063c1499566,1258201,1208836,1548932,1171697,1914631l1171479,1918953,319832,1918953c143194,1918953,0,1775759,0,1599121l0,319832c0,143194,143194,0,319832,0xe">
                      <v:path o:connectlocs="319832,0;1599121,0;1918953,319832;1918953,1218352;1865265,1221063;1171697,1914631;1171479,1918953;319832,1918953;0,1599121;0,319832;319832,0" o:connectangles="0,0,0,0,0,0,0,0,0,0,0"/>
                      <v:fill on="t" focussize="0,0"/>
                      <v:stroke on="f" weight="1pt" miterlimit="8" joinstyle="miter"/>
                      <v:imagedata o:title=""/>
                      <o:lock v:ext="edit" aspectratio="f"/>
                    </v:shape>
                  </v:group>
                  <v:shape id="文本框 27" o:spid="_x0000_s1026" o:spt="202" type="#_x0000_t202" style="position:absolute;left:177533;top:370591;height:1443628;width:1918335;" filled="f" stroked="f" coordsize="21600,21600" o:gfxdata="UEsDBAoAAAAAAIdO4kAAAAAAAAAAAAAAAAAEAAAAZHJzL1BLAwQUAAAACACHTuJAfRz1CrwAAADa&#10;AAAADwAAAGRycy9kb3ducmV2LnhtbEWPQWvCQBSE7wX/w/KE3upuSi0aXXNQCp5aTKvg7ZF9JsHs&#10;25Bdk/TfdwWhx2FmvmHW2Wgb0VPna8cakpkCQVw4U3Op4ef742UBwgdkg41j0vBLHrLN5GmNqXED&#10;H6jPQykihH2KGqoQ2lRKX1Rk0c9cSxy9i+sshii7UpoOhwi3jXxV6l1arDkuVNjStqLimt+shuPn&#10;5Xx6U1/lzs7bwY1Ksl1KrZ+niVqBCDSG//CjvTcalnC/Em+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c9Qq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29"/>
                            <w:spacing w:beforeAutospacing="0" w:after="0" w:afterAutospacing="0" w:line="360" w:lineRule="exact"/>
                            <w:rPr>
                              <w:rFonts w:asciiTheme="minorEastAsia" w:hAnsiTheme="minorEastAsia" w:eastAsiaTheme="minorEastAsia" w:cstheme="minorBidi"/>
                              <w:kern w:val="24"/>
                              <w:sz w:val="21"/>
                              <w:szCs w:val="21"/>
                            </w:rPr>
                          </w:pPr>
                          <w:r>
                            <w:rPr>
                              <w:rFonts w:hint="eastAsia" w:asciiTheme="minorEastAsia" w:hAnsiTheme="minorEastAsia" w:eastAsiaTheme="minorEastAsia" w:cstheme="minorBidi"/>
                              <w:kern w:val="24"/>
                              <w:sz w:val="21"/>
                              <w:szCs w:val="21"/>
                            </w:rPr>
                            <w:t>超七成毕业生在安徽省内就业</w:t>
                          </w:r>
                        </w:p>
                      </w:txbxContent>
                    </v:textbox>
                  </v:shape>
                </v:group>
                <v:group id="_x0000_s1026" o:spid="_x0000_s1026" o:spt="203" style="position:absolute;left:2392366;top:0;height:2267871;width:2267872;" coordorigin="2392366,0" coordsize="2267872,2267871"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group id="_x0000_s1026" o:spid="_x0000_s1026" o:spt="203" style="position:absolute;left:2392366;top:0;height:2267871;width:2267872;" coordorigin="2392365,0" coordsize="1918953,1918953" o:gfxdata="UEsDBAoAAAAAAIdO4kAAAAAAAAAAAAAAAAAEAAAAZHJzL1BLAwQUAAAACACHTuJAbZCq+bwAAADb&#10;AAAADwAAAGRycy9kb3ducmV2LnhtbEVPS2vCQBC+F/wPyxR6q5tYLJK6hiJaehChKkhvQ3ZMQrKz&#10;Ibvm8e9dQfA2H99zlulgatFR60rLCuJpBII4s7rkXMHpuH1fgHAeWWNtmRSM5CBdTV6WmGjb8x91&#10;B5+LEMIuQQWF900ipcsKMuimtiEO3MW2Bn2AbS51i30IN7WcRdGnNFhyaCiwoXVBWXW4GgU/Pfbf&#10;H/Gm21WX9fh/nO/Pu5iUenuNoy8Qngb/FD/cvzrMn8H9l3CAX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kKr5vAAAANsAAAAPAAAAAAAAAAEAIAAAACIAAABkcnMvZG93bnJldi54bWxQ&#10;SwECFAAUAAAACACHTuJAMy8FnjsAAAA5AAAAFQAAAAAAAAABACAAAAALAQAAZHJzL2dyb3Vwc2hh&#10;cGV4bWwueG1sUEsFBgAAAAAGAAYAYAEAAMgDAAAAAA==&#10;">
                    <o:lock v:ext="edit" aspectratio="f"/>
                    <v:shape id="_x0000_s1026" o:spid="_x0000_s1026" o:spt="100" style="position:absolute;left:2392365;top:1224007;height:694946;width:674496;v-text-anchor:middle;" fillcolor="#EF8046" filled="t" stroked="f" coordsize="674496,694946" o:gfxdata="UEsDBAoAAAAAAIdO4kAAAAAAAAAAAAAAAAAEAAAAZHJzL1BLAwQUAAAACACHTuJAE9KNnrcAAADb&#10;AAAADwAAAGRycy9kb3ducmV2LnhtbEVPTYvCMBC9L/gfwgh7W5OKiFSjB0ERb1bR69CMbbWZlCZa&#10;3V9vBMHbPN7nzBYPW4s7tb5yrCEZKBDEuTMVFxoO+9XfBIQPyAZrx6ThSR4W897PDFPjOt7RPQuF&#10;iCHsU9RQhtCkUvq8JIt+4BriyJ1dazFE2BbStNjFcFvLoVJjabHi2FBiQ8uS8mt2sxqO7p+TbTOa&#10;nI7d+JwpHCq8rLX+7SdqCiLQI3zFH/fGxPkjeP8SD5Dz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T0o2etwAAANsAAAAP&#10;AAAAAAAAAAEAIAAAACIAAABkcnMvZG93bnJldi54bWxQSwECFAAUAAAACACHTuJAMy8FnjsAAAA5&#10;AAAAEAAAAAAAAAABACAAAAAGAQAAZHJzL3NoYXBleG1sLnhtbFBLBQYAAAAABgAGAFsBAACwAwAA&#10;AAA=&#10;" path="m0,0l57861,8830c386648,76110,639792,351046,674277,690624l674496,694946,319832,694946c143194,694946,0,551752,0,375114l0,0xe">
                      <v:path o:connectlocs="0,0;57861,8830;674277,690624;674496,694946;319832,694946;0,375114;0,0" o:connectangles="0,0,0,0,0,0,0"/>
                      <v:fill type="gradientRadial" on="t" color2="#FFECDE" colors="0f #EF8046;43909f #FFDABB;65536f #FFECDE" focus="100%" focussize="0f,0f" focusposition="0f,65536f" rotate="t">
                        <o:fill type="gradientRadial" v:ext="backwardCompatible"/>
                      </v:fill>
                      <v:stroke on="f" weight="1pt" miterlimit="8" joinstyle="miter"/>
                      <v:imagedata o:title=""/>
                      <o:lock v:ext="edit" aspectratio="f"/>
                    </v:shape>
                    <v:shape id="_x0000_s1026" o:spid="_x0000_s1026" o:spt="100" style="position:absolute;left:2392365;top:0;height:1918953;width:1918953;v-text-anchor:middle;" fillcolor="#F2F2F2 [3052]" filled="t" stroked="f" coordsize="1918953,1918953" o:gfxdata="UEsDBAoAAAAAAIdO4kAAAAAAAAAAAAAAAAAEAAAAZHJzL1BLAwQUAAAACACHTuJAIbod9LwAAADb&#10;AAAADwAAAGRycy9kb3ducmV2LnhtbEVPS2sCMRC+F/ofwhS81WRXW2Q1eqhUPAit1oPHcTNulm4m&#10;S5L6+PdNoeBtPr7nzBZX14kzhdh61lAMFQji2puWGw37r/fnCYiYkA12nknDjSIs5o8PM6yMv/CW&#10;zrvUiBzCsUINNqW+kjLWlhzGoe+JM3fywWHKMDTSBLzkcNfJUqlX6bDl3GCxpzdL9ffux2nAcnss&#10;Ru7w+TGy6jbebMrlMqy0HjwVagoi0TXdxf/utcnzX+Dvl3yA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6HfS8AAAA&#10;2wAAAA8AAAAAAAAAAQAgAAAAIgAAAGRycy9kb3ducmV2LnhtbFBLAQIUABQAAAAIAIdO4kAzLwWe&#10;OwAAADkAAAAQAAAAAAAAAAEAIAAAAAsBAABkcnMvc2hhcGV4bWwueG1sUEsFBgAAAAAGAAYAWwEA&#10;ALUDAAAAAA==&#10;" path="m319832,0l1599121,0c1775759,0,1918953,143194,1918953,319832l1918953,1599121c1918953,1775759,1775759,1918953,1599121,1918953l674496,1918953,674277,1914631c639792,1575053,386648,1300117,57861,1232837l0,1224007,0,319832c0,143194,143194,0,319832,0xe">
                      <v:path o:connectlocs="319832,0;1599121,0;1918953,319832;1918953,1599121;1599121,1918953;674496,1918953;674277,1914631;57861,1232837;0,1224007;0,319832;319832,0" o:connectangles="0,0,0,0,0,0,0,0,0,0,0"/>
                      <v:fill on="t" focussize="0,0"/>
                      <v:stroke on="f" weight="1pt" miterlimit="8" joinstyle="miter"/>
                      <v:imagedata o:title=""/>
                      <o:lock v:ext="edit" aspectratio="f"/>
                    </v:shape>
                  </v:group>
                  <v:shape id="文本框 28" o:spid="_x0000_s1026" o:spt="202" type="#_x0000_t202" style="position:absolute;left:2708771;top:333684;height:1375049;width:1783300;" filled="f" stroked="f" coordsize="21600,21600" o:gfxdata="UEsDBAoAAAAAAIdO4kAAAAAAAAAAAAAAAAAEAAAAZHJzL1BLAwQUAAAACACHTuJAoxa7GbkAAADb&#10;AAAADwAAAGRycy9kb3ducmV2LnhtbEVPS4vCMBC+C/6HMII3m7iouF2jBxfBk+JrYW9DM7bFZlKa&#10;aOu/N8LC3ubje85i1dlKPKjxpWMN40SBIM6cKTnXcD5tRnMQPiAbrByThid5WC37vQWmxrV8oMcx&#10;5CKGsE9RQxFCnUrps4Is+sTVxJG7usZiiLDJpWmwjeG2kh9KzaTFkmNDgTWtC8pux7vVcNldf38m&#10;ap9/22nduk5Jtp9S6+FgrL5ABOrCv/jPvTVx/gzev8QD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MWuxm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29"/>
                            <w:spacing w:beforeAutospacing="0" w:after="0" w:afterAutospacing="0" w:line="360" w:lineRule="exact"/>
                            <w:rPr>
                              <w:rFonts w:asciiTheme="minorEastAsia" w:hAnsiTheme="minorEastAsia" w:eastAsiaTheme="minorEastAsia" w:cstheme="minorBidi"/>
                              <w:kern w:val="24"/>
                              <w:sz w:val="21"/>
                              <w:szCs w:val="21"/>
                            </w:rPr>
                          </w:pPr>
                          <w:r>
                            <w:rPr>
                              <w:rFonts w:hint="eastAsia" w:asciiTheme="minorEastAsia" w:hAnsiTheme="minorEastAsia" w:eastAsiaTheme="minorEastAsia" w:cstheme="minorBidi"/>
                              <w:kern w:val="24"/>
                              <w:sz w:val="21"/>
                              <w:szCs w:val="21"/>
                            </w:rPr>
                            <w:t>就业行业分布</w:t>
                          </w:r>
                          <w:r>
                            <w:rPr>
                              <w:rFonts w:asciiTheme="minorEastAsia" w:hAnsiTheme="minorEastAsia" w:eastAsiaTheme="minorEastAsia" w:cstheme="minorBidi"/>
                              <w:kern w:val="24"/>
                              <w:sz w:val="21"/>
                              <w:szCs w:val="21"/>
                            </w:rPr>
                            <w:t>以“</w:t>
                          </w:r>
                          <w:r>
                            <w:rPr>
                              <w:rFonts w:hint="eastAsia" w:asciiTheme="minorEastAsia" w:hAnsiTheme="minorEastAsia" w:eastAsiaTheme="minorEastAsia" w:cstheme="minorBidi"/>
                              <w:kern w:val="24"/>
                              <w:sz w:val="21"/>
                              <w:szCs w:val="21"/>
                            </w:rPr>
                            <w:t>教育</w:t>
                          </w:r>
                          <w:r>
                            <w:rPr>
                              <w:rFonts w:asciiTheme="minorEastAsia" w:hAnsiTheme="minorEastAsia" w:eastAsiaTheme="minorEastAsia" w:cstheme="minorBidi"/>
                              <w:kern w:val="24"/>
                              <w:sz w:val="21"/>
                              <w:szCs w:val="21"/>
                            </w:rPr>
                            <w:t>”</w:t>
                          </w:r>
                          <w:r>
                            <w:rPr>
                              <w:rFonts w:hint="eastAsia" w:asciiTheme="minorEastAsia" w:hAnsiTheme="minorEastAsia" w:eastAsiaTheme="minorEastAsia" w:cstheme="minorBidi"/>
                              <w:kern w:val="24"/>
                              <w:sz w:val="21"/>
                              <w:szCs w:val="21"/>
                            </w:rPr>
                            <w:t>为主</w:t>
                          </w:r>
                        </w:p>
                      </w:txbxContent>
                    </v:textbox>
                  </v:shape>
                </v:group>
                <v:group id="_x0000_s1026" o:spid="_x0000_s1026" o:spt="203" style="position:absolute;left:0;top:2430493;height:2267870;width:2267870;" coordorigin="0,2430493" coordsize="2267870,2267870"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0;top:2430493;height:2267870;width:2267870;" coordorigin="0,2430494" coordsize="1918953,1918953" o:gfxdata="UEsDBAoAAAAAAIdO4kAAAAAAAAAAAAAAAAAEAAAAZHJzL1BLAwQUAAAACACHTuJAUy7+M70AAADb&#10;AAAADwAAAGRycy9kb3ducmV2LnhtbEWPQYvCMBSE78L+h/CEvWkaF0WqUUTWZQ8iqAuLt0fzbIvN&#10;S2liq//eCILHYWa+YebLm61ES40vHWtQwwQEceZMybmGv+NmMAXhA7LByjFpuJOH5eKjN8fUuI73&#10;1B5CLiKEfYoaihDqVEqfFWTRD11NHL2zayyGKJtcmga7CLeVHCXJRFosOS4UWNO6oOxyuFoNPx12&#10;qy/13W4v5/X9dBzv/reKtP7sq2QGItAtvMOv9q/RMFLw/BJ/gF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7+M70AAADbAAAADwAAAAAAAAABACAAAAAiAAAAZHJzL2Rvd25yZXYueG1s&#10;UEsBAhQAFAAAAAgAh07iQDMvBZ47AAAAOQAAABUAAAAAAAAAAQAgAAAADAEAAGRycy9ncm91cHNo&#10;YXBleG1sLnhtbFBLBQYAAAAABgAGAGABAADJAwAAAAA=&#10;">
                    <o:lock v:ext="edit" aspectratio="f"/>
                    <v:shape id="_x0000_s1026" o:spid="_x0000_s1026" o:spt="100" style="position:absolute;left:1171588;top:2430494;height:698450;width:747365;v-text-anchor:middle;" fillcolor="#4EB389" filled="t" stroked="f" coordsize="747365,698450" o:gfxdata="UEsDBAoAAAAAAIdO4kAAAAAAAAAAAAAAAAAEAAAAZHJzL1BLAwQUAAAACACHTuJA6nSg970AAADb&#10;AAAADwAAAGRycy9kb3ducmV2LnhtbEWPQWvCQBSE70L/w/IKXqTuGqUpqauHFlEPHkwLvT6yr0kw&#10;+zZk10T/vSsIHoeZ+YZZri+2ET11vnasYTZVIIgLZ2ouNfz+bN4+QPiAbLBxTBqu5GG9ehktMTNu&#10;4CP1eShFhLDPUEMVQptJ6YuKLPqpa4mj9+86iyHKrpSmwyHCbSMTpd6lxZrjQoUtfVVUnPKz1ZCe&#10;T2k+TIr+W5m//UHxdpKYudbj15n6BBHoEp7hR3tnNCQLuH+JP0C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dKD3vQAA&#10;ANsAAAAPAAAAAAAAAAEAIAAAACIAAABkcnMvZG93bnJldi54bWxQSwECFAAUAAAACACHTuJAMy8F&#10;njsAAAA5AAAAEAAAAAAAAAABACAAAAAMAQAAZHJzL3NoYXBleG1sLnhtbFBLBQYAAAAABgAGAFsB&#10;AAC2AwAAAAA=&#10;" path="m0,0l427533,0c604171,0,747365,143194,747365,319832l747365,698450,693677,695739c327978,658601,37248,367871,109,2171l0,0xe">
                      <v:path o:connectlocs="0,0;427533,0;747365,319832;747365,698450;693677,695739;109,2171;0,0" o:connectangles="0,0,0,0,0,0,0"/>
                      <v:fill type="gradientRadial" on="t" color2="#E2F3EA" colors="0f #4EB389;38011f #C3E8D5;65536f #E2F3EA" focus="100%" focussize="0f,0f" focusposition="65536f,0f" rotate="t">
                        <o:fill type="gradientRadial" v:ext="backwardCompatible"/>
                      </v:fill>
                      <v:stroke on="f" weight="1pt" miterlimit="8" joinstyle="miter"/>
                      <v:imagedata o:title=""/>
                      <o:lock v:ext="edit" aspectratio="f"/>
                    </v:shape>
                    <v:shape id="_x0000_s1026" o:spid="_x0000_s1026" o:spt="100" style="position:absolute;left:0;top:2430494;height:1918953;width:1918953;v-text-anchor:middle;" fillcolor="#F2F2F2 [3052]" filled="t" stroked="f" coordsize="1918953,1918953" o:gfxdata="UEsDBAoAAAAAAIdO4kAAAAAAAAAAAAAAAAAEAAAAZHJzL1BLAwQUAAAACACHTuJA79bXSb4AAADb&#10;AAAADwAAAGRycy9kb3ducmV2LnhtbEWPT2sCMRTE74V+h/AK3mqyqy2yGj1UKh6EVuvB43Pz3Czd&#10;vCxJ6p9v3xQKHoeZ+Q0zW1xdJ84UYutZQzFUIIhrb1puNOy/3p8nIGJCNth5Jg03irCYPz7MsDL+&#10;wls671IjMoRjhRpsSn0lZawtOYxD3xNn7+SDw5RlaKQJeMlw18lSqVfpsOW8YLGnN0v19+7HacBy&#10;eyxG7vD5MbLqNt5syuUyrLQePBVqCiLRNd3D/+210VC+wN+X/APk/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9bXSb4A&#10;AADbAAAADwAAAAAAAAABACAAAAAiAAAAZHJzL2Rvd25yZXYueG1sUEsBAhQAFAAAAAgAh07iQDMv&#10;BZ47AAAAOQAAABAAAAAAAAAAAQAgAAAADQEAAGRycy9zaGFwZXhtbC54bWxQSwUGAAAAAAYABgBb&#10;AQAAtwMAAAAA&#10;" path="m319832,0l1171588,0,1171697,2171c1208836,367871,1499566,658601,1865265,695739l1918953,698450,1918953,1599121c1918953,1775759,1775759,1918953,1599121,1918953l319832,1918953c143194,1918953,0,1775759,0,1599121l0,319832c0,143194,143194,0,319832,0xe">
                      <v:path o:connectlocs="319832,0;1171588,0;1171697,2171;1865265,695739;1918953,698450;1918953,1599121;1599121,1918953;319832,1918953;0,1599121;0,319832;319832,0" o:connectangles="0,0,0,0,0,0,0,0,0,0,0"/>
                      <v:fill on="t" focussize="0,0"/>
                      <v:stroke on="f" weight="1pt" miterlimit="8" joinstyle="miter"/>
                      <v:imagedata o:title=""/>
                      <o:lock v:ext="edit" aspectratio="f"/>
                    </v:shape>
                  </v:group>
                  <v:shape id="文本框 29" o:spid="_x0000_s1026" o:spt="202" type="#_x0000_t202" style="position:absolute;left:177533;top:2936348;height:1653047;width:1777632;" filled="f" stroked="f" coordsize="21600,21600" o:gfxdata="UEsDBAoAAAAAAIdO4kAAAAAAAAAAAAAAAAAEAAAAZHJzL1BLAwQUAAAACACHTuJAAjbUP70AAADb&#10;AAAADwAAAGRycy9kb3ducmV2LnhtbEWPT2vCQBTE74LfYXmCN7Nr0NZGVw8thZ6U2lbo7ZF9+YPZ&#10;tyG7TdJv7xYKHoeZ+Q2zO4y2ET11vnasYZkoEMS5MzWXGj4/XhcbED4gG2wck4Zf8nDYTyc7zIwb&#10;+J36cyhFhLDPUEMVQptJ6fOKLPrEtcTRK1xnMUTZldJ0OES4bWSq1IO0WHNcqLCl54ry6/nHavg6&#10;Ft+XlTqVL3bdDm5Uku2T1Ho+W6otiEBjuIf/229GQ/oI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Nt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29"/>
                            <w:spacing w:beforeAutospacing="0" w:after="0" w:afterAutospacing="0" w:line="360" w:lineRule="exact"/>
                            <w:rPr>
                              <w:rFonts w:cstheme="minorBidi"/>
                              <w:kern w:val="24"/>
                              <w:sz w:val="21"/>
                              <w:szCs w:val="21"/>
                            </w:rPr>
                          </w:pPr>
                          <w:r>
                            <w:rPr>
                              <w:rFonts w:hint="eastAsia" w:cstheme="minorBidi"/>
                              <w:kern w:val="24"/>
                              <w:sz w:val="21"/>
                              <w:szCs w:val="21"/>
                            </w:rPr>
                            <w:t>就业职业</w:t>
                          </w:r>
                          <w:r>
                            <w:rPr>
                              <w:rFonts w:cstheme="minorBidi"/>
                              <w:kern w:val="24"/>
                              <w:sz w:val="21"/>
                              <w:szCs w:val="21"/>
                            </w:rPr>
                            <w:t>呈多元化分布</w:t>
                          </w:r>
                        </w:p>
                      </w:txbxContent>
                    </v:textbox>
                  </v:shape>
                </v:group>
                <v:group id="_x0000_s1026" o:spid="_x0000_s1026" o:spt="203" style="position:absolute;left:2392363;top:2429658;height:2267873;width:2267871;" coordorigin="2392363,2429658" coordsize="2267871,2267873" o:gfxdata="UEsDBAoAAAAAAIdO4kAAAAAAAAAAAAAAAAAEAAAAZHJzL1BLAwQUAAAACACHTuJAJiX2mb0AAADb&#10;AAAADwAAAGRycy9kb3ducmV2LnhtbEWPT4vCMBTE74LfITzBm6ZVVpauqSyi4kEEdUG8PZrXP9i8&#10;lCa2+u03wsIeh5n5DbNcPU0tOmpdZVlBPI1AEGdWV1wo+LlsJ58gnEfWWFsmBS9ysEqHgyUm2vZ8&#10;ou7sCxEg7BJUUHrfJFK6rCSDbmob4uDltjXog2wLqVvsA9zUchZFC2mw4rBQYkPrkrL7+WEU7Hrs&#10;v+fxpjvc8/Xrdvk4Xg8xKTUexdEXCE9P/x/+a++1gvkM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iX2mb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2392363;top:2429658;height:2267873;width:2267871;" coordorigin="2392366,2429785" coordsize="1918953,1918953" o:gfxdata="UEsDBAoAAAAAAIdO4kAAAAAAAAAAAAAAAAAEAAAAZHJzL1BLAwQUAAAACACHTuJANlJVAb0AAADb&#10;AAAADwAAAGRycy9kb3ducmV2LnhtbEWPQYvCMBSE74L/ITzB25pW2V2pRhFR2YMsbBXE26N5tsXm&#10;pTSx1X9vhAWPw8x8w8yXd1OJlhpXWlYQjyIQxJnVJecKjoftxxSE88gaK8uk4EEOlot+b46Jth3/&#10;UZv6XAQIuwQVFN7XiZQuK8igG9maOHgX2xj0QTa51A12AW4qOY6iL2mw5LBQYE3rgrJrejMKdh12&#10;q0m8affXy/pxPnz+nvYxKTUcxNEMhKe7f4f/2z9aweQb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lJVAb0AAADbAAAADwAAAAAAAAABACAAAAAiAAAAZHJzL2Rvd25yZXYueG1s&#10;UEsBAhQAFAAAAAgAh07iQDMvBZ47AAAAOQAAABUAAAAAAAAAAQAgAAAADAEAAGRycy9ncm91cHNo&#10;YXBleG1sLnhtbFBLBQYAAAAABgAGAGABAADJAwAAAAA=&#10;">
                    <o:lock v:ext="edit" aspectratio="f"/>
                    <v:shape id="_x0000_s1026" o:spid="_x0000_s1026" o:spt="100" style="position:absolute;left:2392373;top:2430493;height:692796;width:674389;v-text-anchor:middle;" fillcolor="#FEC74C" filled="t" stroked="f" coordsize="674387,692796" o:gfxdata="UEsDBAoAAAAAAIdO4kAAAAAAAAAAAAAAAAAEAAAAZHJzL1BLAwQUAAAACACHTuJA4zZUzboAAADb&#10;AAAADwAAAGRycy9kb3ducmV2LnhtbEVPTYvCMBC9L/gfwgje1lQFKV2jiCJ6UJfqHjwOzdgWm0lt&#10;oq3/3hyEPT7e92zRmUo8qXGlZQWjYQSCOLO65FzB33nzHYNwHlljZZkUvMjBYt77mmGibcspPU8+&#10;FyGEXYIKCu/rREqXFWTQDW1NHLirbQz6AJtc6gbbEG4qOY6iqTRYcmgosKZVQdnt9DAKYrs67w/p&#10;Zb08xnF3b3/depvulRr0R9EPCE+d/xd/3DutYBLGhi/hB8j5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NlTNugAAANsA&#10;AAAPAAAAAAAAAAEAIAAAACIAAABkcnMvZG93bnJldi54bWxQSwECFAAUAAAACACHTuJAMy8FnjsA&#10;AAA5AAAAEAAAAAAAAAABACAAAAAJAQAAZHJzL3NoYXBleG1sLnhtbFBLBQYAAAAABgAGAFsBAACz&#10;AwAAAAA=&#10;" path="m319832,0l674387,0,674277,2172c639792,341750,386648,616686,57861,683966l0,692796,0,319832c0,143194,143194,0,319832,0xe">
                      <v:path o:connectlocs="319832,0;674389,0;674278,2172;57861,683966;0,692796;0,319832;319832,0" o:connectangles="0,0,0,0,0,0,0"/>
                      <v:fill type="gradientRadial" on="t" color2="#FBEBF9" colors="0f #FEC74C;13763f #DEA5B4;65536f #FBEBF9" focus="100%" focussize="0f,0f" focusposition="0f,0f" rotate="t">
                        <o:fill type="gradientRadial" v:ext="backwardCompatible"/>
                      </v:fill>
                      <v:stroke on="f" weight="1pt" miterlimit="8" joinstyle="miter"/>
                      <v:imagedata o:title=""/>
                      <o:lock v:ext="edit" aspectratio="f"/>
                    </v:shape>
                    <v:shape id="_x0000_s1026" o:spid="_x0000_s1026" o:spt="100" style="position:absolute;left:2392366;top:2429785;height:1918953;width:1918953;v-text-anchor:middle;" fillcolor="#F2F2F2 [3052]" filled="t" stroked="f" coordsize="1918953,1918953" o:gfxdata="UEsDBAoAAAAAAIdO4kAAAAAAAAAAAAAAAAAEAAAAZHJzL1BLAwQUAAAACACHTuJA60JLkb8AAADb&#10;AAAADwAAAGRycy9kb3ducmV2LnhtbEWPT0sDMRTE7wW/Q3hCb22yu1J0bdqDxeKhYFs9eHxunpvF&#10;zcuSxP759qZQ6HGYmd8w8+XJ9eJAIXaeNRRTBYK48abjVsPnx+vkEURMyAZ7z6ThTBGWi7vRHGvj&#10;j7yjwz61IkM41qjBpjTUUsbGksM49QNx9n58cJiyDK00AY8Z7npZKjWTDjvOCxYHerHU/O7/nAYs&#10;d99F5b6275VV54fNplytwlrr8X2hnkEkOqVb+Np+MxqqJ7h8yT9AL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CS5G/&#10;AAAA2wAAAA8AAAAAAAAAAQAgAAAAIgAAAGRycy9kb3ducmV2LnhtbFBLAQIUABQAAAAIAIdO4kAz&#10;LwWeOwAAADkAAAAQAAAAAAAAAAEAIAAAAA4BAABkcnMvc2hhcGV4bWwueG1sUEsFBgAAAAAGAAYA&#10;WwEAALgDAAAAAA==&#10;" path="m674387,0l1599121,0c1775759,0,1918953,143194,1918953,319832l1918953,1599121c1918953,1775759,1775759,1918953,1599121,1918953l319832,1918953c143194,1918953,0,1775759,0,1599121l0,692796,57861,683966c386648,616686,639792,341750,674277,2172l674387,0xe">
                      <v:path o:connectlocs="674387,0;1599121,0;1918953,319832;1918953,1599121;1599121,1918953;319832,1918953;0,1599121;0,692796;57861,683966;674277,2172;674387,0" o:connectangles="0,0,0,0,0,0,0,0,0,0,0"/>
                      <v:fill on="t" focussize="0,0"/>
                      <v:stroke on="f" weight="1pt" miterlimit="8" joinstyle="miter"/>
                      <v:imagedata o:title=""/>
                      <o:lock v:ext="edit" aspectratio="f"/>
                    </v:shape>
                  </v:group>
                  <v:shape id="文本框 30" o:spid="_x0000_s1026" o:spt="202" type="#_x0000_t202" style="position:absolute;left:2738359;top:2936348;height:1665613;width:1708338;" filled="f" stroked="f" coordsize="21600,21600" o:gfxdata="UEsDBAoAAAAAAIdO4kAAAAAAAAAAAAAAAAAEAAAAZHJzL1BLAwQUAAAACACHTuJAmcnXg7gAAADc&#10;AAAADwAAAGRycy9kb3ducmV2LnhtbEVPy4rCMBTdD/gP4QruxqSDI1qNLhwEVw4+wd2lubbF5qY0&#10;0da/NwvB5eG858vOVuJBjS8da0iGCgRx5kzJuYbjYf09AeEDssHKMWl4koflovc1x9S4lnf02Idc&#10;xBD2KWooQqhTKX1WkEU/dDVx5K6usRgibHJpGmxjuK3kj1JjabHk2FBgTauCstv+bjWcttfLeaT+&#10;8z/7W7euU5LtVGo96CdqBiJQFz7it3tjNEyTOD+eiUdALl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cnXg7gAAADc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pStyle w:val="29"/>
                            <w:spacing w:beforeAutospacing="0" w:after="0" w:afterAutospacing="0" w:line="360" w:lineRule="exact"/>
                            <w:rPr>
                              <w:rFonts w:asciiTheme="minorEastAsia" w:hAnsiTheme="minorEastAsia" w:eastAsiaTheme="minorEastAsia" w:cstheme="minorBidi"/>
                              <w:kern w:val="24"/>
                              <w:sz w:val="21"/>
                              <w:szCs w:val="21"/>
                            </w:rPr>
                          </w:pPr>
                          <w:r>
                            <w:rPr>
                              <w:rFonts w:hint="eastAsia" w:asciiTheme="minorEastAsia" w:hAnsiTheme="minorEastAsia" w:eastAsiaTheme="minorEastAsia" w:cstheme="minorBidi"/>
                              <w:kern w:val="24"/>
                              <w:sz w:val="21"/>
                              <w:szCs w:val="21"/>
                            </w:rPr>
                            <w:t>“其他企业”为</w:t>
                          </w:r>
                          <w:r>
                            <w:rPr>
                              <w:rFonts w:asciiTheme="minorEastAsia" w:hAnsiTheme="minorEastAsia" w:eastAsiaTheme="minorEastAsia" w:cstheme="minorBidi"/>
                              <w:kern w:val="24"/>
                              <w:sz w:val="21"/>
                              <w:szCs w:val="21"/>
                            </w:rPr>
                            <w:t>毕业生的主要选择</w:t>
                          </w:r>
                        </w:p>
                      </w:txbxContent>
                    </v:textbox>
                  </v:shape>
                </v:group>
              </v:group>
            </w:pict>
          </mc:Fallback>
        </mc:AlternateContent>
      </w:r>
    </w:p>
    <w:p>
      <w:pPr>
        <w:pStyle w:val="199"/>
        <w:ind w:firstLine="480"/>
      </w:pPr>
    </w:p>
    <w:p>
      <w:pPr>
        <w:pStyle w:val="199"/>
        <w:ind w:firstLine="480"/>
      </w:pPr>
    </w:p>
    <w:p>
      <w:pPr>
        <w:pStyle w:val="199"/>
        <w:ind w:firstLine="480"/>
      </w:pPr>
    </w:p>
    <w:p>
      <w:pPr>
        <w:pStyle w:val="199"/>
        <w:ind w:firstLine="480"/>
      </w:pPr>
    </w:p>
    <w:p>
      <w:pPr>
        <w:pStyle w:val="199"/>
        <w:ind w:firstLine="480"/>
      </w:pPr>
    </w:p>
    <w:p>
      <w:pPr>
        <w:pStyle w:val="199"/>
        <w:ind w:firstLine="480"/>
      </w:pPr>
    </w:p>
    <w:p>
      <w:pPr>
        <w:pStyle w:val="199"/>
        <w:ind w:firstLine="480"/>
      </w:pPr>
    </w:p>
    <w:p>
      <w:pPr>
        <w:pStyle w:val="199"/>
        <w:ind w:firstLine="480"/>
      </w:pPr>
    </w:p>
    <w:p>
      <w:pPr>
        <w:pStyle w:val="136"/>
        <w:ind w:firstLine="0" w:firstLineChars="0"/>
      </w:pPr>
    </w:p>
    <w:p>
      <w:pPr>
        <w:pStyle w:val="203"/>
        <w:spacing w:before="0" w:beforeLines="0" w:after="0" w:afterLines="0"/>
      </w:pPr>
      <w:bookmarkStart w:id="16" w:name="_Toc27002286"/>
      <w:r>
        <w:t>图2  2019届毕业生就业分布</w:t>
      </w:r>
      <w:bookmarkEnd w:id="16"/>
    </w:p>
    <w:p>
      <w:pPr>
        <w:pStyle w:val="142"/>
        <w:rPr>
          <w:color w:val="4472C4" w:themeColor="accent1"/>
          <w14:textFill>
            <w14:solidFill>
              <w14:schemeClr w14:val="accent1"/>
            </w14:solidFill>
          </w14:textFill>
        </w:rPr>
      </w:pPr>
      <w:bookmarkStart w:id="17" w:name="_Toc27601803"/>
      <w:r>
        <w:rPr>
          <w:rFonts w:hint="eastAsia"/>
          <w:color w:val="4472C4" w:themeColor="accent1"/>
          <w14:textFill>
            <w14:solidFill>
              <w14:schemeClr w14:val="accent1"/>
            </w14:solidFill>
          </w14:textFill>
        </w:rPr>
        <w:t>三、就业质量</w:t>
      </w:r>
      <w:bookmarkEnd w:id="17"/>
    </w:p>
    <w:p>
      <w:pPr>
        <w:pStyle w:val="199"/>
        <w:spacing w:before="156" w:beforeLines="50" w:after="156" w:afterLines="50"/>
        <w:ind w:firstLine="480"/>
      </w:pPr>
      <w:r>
        <w:rPr>
          <w:rFonts w:hint="eastAsia"/>
        </w:rPr>
        <w:t>皖西学院2019届毕业生税前月均收入为</w:t>
      </w:r>
      <w:r>
        <w:t>4381.95</w:t>
      </w:r>
      <w:r>
        <w:rPr>
          <w:rFonts w:hint="eastAsia"/>
        </w:rPr>
        <w:t>元，其工作满意度为92.20</w:t>
      </w:r>
      <w:r>
        <w:t>%</w:t>
      </w:r>
      <w:r>
        <w:rPr>
          <w:rFonts w:hint="eastAsia"/>
        </w:rPr>
        <w:t>，专业相关度为</w:t>
      </w:r>
      <w:r>
        <w:t>76.95%</w:t>
      </w:r>
      <w:r>
        <w:rPr>
          <w:rFonts w:hint="eastAsia"/>
        </w:rPr>
        <w:t>，职业期待吻合度为</w:t>
      </w:r>
      <w:r>
        <w:t>84.76%</w:t>
      </w:r>
      <w:r>
        <w:rPr>
          <w:rFonts w:hint="eastAsia"/>
        </w:rPr>
        <w:t>。</w:t>
      </w:r>
    </w:p>
    <w:p>
      <w:pPr>
        <w:pStyle w:val="64"/>
        <w:spacing w:before="156" w:after="156"/>
        <w:ind w:firstLine="0" w:firstLineChars="0"/>
        <w:jc w:val="both"/>
        <w:rPr>
          <w:rFonts w:ascii="Times New Roman" w:hAnsi="Times New Roman"/>
        </w:rPr>
      </w:pPr>
      <w:r>
        <w:rPr>
          <w:lang w:val="en-US"/>
        </w:rPr>
        <w:drawing>
          <wp:inline distT="0" distB="0" distL="0" distR="0">
            <wp:extent cx="5438775" cy="3257550"/>
            <wp:effectExtent l="0" t="0" r="0" b="0"/>
            <wp:docPr id="1124" name="图示 11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pPr>
        <w:pStyle w:val="203"/>
        <w:spacing w:before="0" w:beforeLines="0" w:after="0" w:afterLines="0"/>
      </w:pPr>
      <w:bookmarkStart w:id="18" w:name="_Toc27002287"/>
      <w:r>
        <w:t>图3  2019届毕业生就业质量分析</w:t>
      </w:r>
      <w:bookmarkEnd w:id="18"/>
    </w:p>
    <w:p>
      <w:pPr>
        <w:pStyle w:val="142"/>
        <w:rPr>
          <w:color w:val="4472C4" w:themeColor="accent1"/>
          <w14:textFill>
            <w14:solidFill>
              <w14:schemeClr w14:val="accent1"/>
            </w14:solidFill>
          </w14:textFill>
        </w:rPr>
      </w:pPr>
      <w:bookmarkStart w:id="19" w:name="_Toc520328885"/>
      <w:bookmarkStart w:id="20" w:name="_Toc27601804"/>
      <w:r>
        <w:rPr>
          <w:rFonts w:hint="eastAsia"/>
          <w:color w:val="4472C4" w:themeColor="accent1"/>
          <w14:textFill>
            <w14:solidFill>
              <w14:schemeClr w14:val="accent1"/>
            </w14:solidFill>
          </w14:textFill>
        </w:rPr>
        <w:t>四、</w:t>
      </w:r>
      <w:bookmarkEnd w:id="19"/>
      <w:r>
        <w:rPr>
          <w:rFonts w:hint="eastAsia"/>
          <w:color w:val="4472C4" w:themeColor="accent1"/>
          <w14:textFill>
            <w14:solidFill>
              <w14:schemeClr w14:val="accent1"/>
            </w14:solidFill>
          </w14:textFill>
        </w:rPr>
        <w:t>对人才培养的评价</w:t>
      </w:r>
      <w:bookmarkEnd w:id="20"/>
    </w:p>
    <w:p>
      <w:pPr>
        <w:pStyle w:val="199"/>
        <w:spacing w:before="156" w:beforeLines="50" w:after="156" w:afterLines="50"/>
        <w:ind w:firstLine="480"/>
      </w:pPr>
      <w:r>
        <w:t>2019</w:t>
      </w:r>
      <w:r>
        <w:rPr>
          <w:rFonts w:hint="eastAsia"/>
        </w:rPr>
        <w:t>届</w:t>
      </w:r>
      <w:r>
        <w:t>毕业生</w:t>
      </w:r>
      <w:r>
        <w:rPr>
          <w:rFonts w:hint="eastAsia"/>
        </w:rPr>
        <w:t>对</w:t>
      </w:r>
      <w:r>
        <w:t>母校</w:t>
      </w:r>
      <w:r>
        <w:rPr>
          <w:rFonts w:hint="eastAsia"/>
        </w:rPr>
        <w:t>的满意度、推荐度分别</w:t>
      </w:r>
      <w:r>
        <w:t>为98.71%</w:t>
      </w:r>
      <w:r>
        <w:rPr>
          <w:rFonts w:hint="eastAsia"/>
        </w:rPr>
        <w:t>、68.75</w:t>
      </w:r>
      <w:r>
        <w:t>%</w:t>
      </w:r>
      <w:r>
        <w:rPr>
          <w:rFonts w:hint="eastAsia"/>
        </w:rPr>
        <w:t>；对课堂教学总评价的均值为3.71分，处于“比较满意”水平；对实践教学的满意度均值为</w:t>
      </w:r>
      <w:r>
        <w:t>3.</w:t>
      </w:r>
      <w:r>
        <w:rPr>
          <w:rFonts w:hint="eastAsia"/>
        </w:rPr>
        <w:t>6</w:t>
      </w:r>
      <w:r>
        <w:t>0</w:t>
      </w:r>
      <w:r>
        <w:rPr>
          <w:rFonts w:hint="eastAsia"/>
        </w:rPr>
        <w:t>分，偏向“有些帮助”水平；对任课教师的满意度均值为3.96分，偏向“比较满意”水平。</w:t>
      </w:r>
    </w:p>
    <w:p>
      <w:pPr>
        <w:pStyle w:val="64"/>
        <w:spacing w:before="156" w:after="156"/>
        <w:ind w:firstLine="0" w:firstLineChars="0"/>
        <w:jc w:val="center"/>
        <w:rPr>
          <w:rFonts w:ascii="Times New Roman" w:hAnsi="Times New Roman"/>
        </w:rPr>
      </w:pPr>
      <w:r>
        <w:rPr>
          <w:rFonts w:ascii="Times New Roman" w:hAnsi="Times New Roman"/>
          <w:lang w:val="en-US"/>
        </w:rPr>
        <mc:AlternateContent>
          <mc:Choice Requires="wpg">
            <w:drawing>
              <wp:anchor distT="0" distB="0" distL="114300" distR="114300" simplePos="0" relativeHeight="251942912" behindDoc="0" locked="0" layoutInCell="1" allowOverlap="1">
                <wp:simplePos x="0" y="0"/>
                <wp:positionH relativeFrom="margin">
                  <wp:posOffset>-3810</wp:posOffset>
                </wp:positionH>
                <wp:positionV relativeFrom="paragraph">
                  <wp:posOffset>153035</wp:posOffset>
                </wp:positionV>
                <wp:extent cx="5538470" cy="2213610"/>
                <wp:effectExtent l="0" t="38100" r="62230" b="0"/>
                <wp:wrapNone/>
                <wp:docPr id="485" name="组合 16"/>
                <wp:cNvGraphicFramePr/>
                <a:graphic xmlns:a="http://schemas.openxmlformats.org/drawingml/2006/main">
                  <a:graphicData uri="http://schemas.microsoft.com/office/word/2010/wordprocessingGroup">
                    <wpg:wgp>
                      <wpg:cNvGrpSpPr/>
                      <wpg:grpSpPr>
                        <a:xfrm>
                          <a:off x="0" y="0"/>
                          <a:ext cx="5538746" cy="2213921"/>
                          <a:chOff x="0" y="0"/>
                          <a:chExt cx="7829023" cy="3129984"/>
                        </a:xfrm>
                      </wpg:grpSpPr>
                      <wpg:grpSp>
                        <wpg:cNvPr id="487" name="组合 487"/>
                        <wpg:cNvGrpSpPr/>
                        <wpg:grpSpPr>
                          <a:xfrm>
                            <a:off x="0" y="0"/>
                            <a:ext cx="7829023" cy="3129984"/>
                            <a:chOff x="0" y="0"/>
                            <a:chExt cx="7829023" cy="3129984"/>
                          </a:xfrm>
                        </wpg:grpSpPr>
                        <wpg:grpSp>
                          <wpg:cNvPr id="488" name="组合 488"/>
                          <wpg:cNvGrpSpPr/>
                          <wpg:grpSpPr>
                            <a:xfrm>
                              <a:off x="0" y="0"/>
                              <a:ext cx="7829017" cy="2956635"/>
                              <a:chOff x="0" y="0"/>
                              <a:chExt cx="7829017" cy="2956635"/>
                            </a:xfrm>
                          </wpg:grpSpPr>
                          <wps:wsp>
                            <wps:cNvPr id="489" name="直接连接符 489"/>
                            <wps:cNvCnPr/>
                            <wps:spPr>
                              <a:xfrm>
                                <a:off x="149443" y="0"/>
                                <a:ext cx="7679574" cy="21464"/>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cNvPr id="490" name="组合 490"/>
                            <wpg:cNvGrpSpPr/>
                            <wpg:grpSpPr>
                              <a:xfrm>
                                <a:off x="0" y="42459"/>
                                <a:ext cx="1622738" cy="2914175"/>
                                <a:chOff x="0" y="42459"/>
                                <a:chExt cx="1622738" cy="2914175"/>
                              </a:xfrm>
                            </wpg:grpSpPr>
                            <wps:wsp>
                              <wps:cNvPr id="491" name="直接连接符 491"/>
                              <wps:cNvCnPr/>
                              <wps:spPr>
                                <a:xfrm>
                                  <a:off x="811369" y="42459"/>
                                  <a:ext cx="0" cy="1412309"/>
                                </a:xfrm>
                                <a:prstGeom prst="line">
                                  <a:avLst/>
                                </a:prstGeom>
                                <a:ln w="571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493" name="圆角矩形 493"/>
                              <wps:cNvSpPr/>
                              <wps:spPr>
                                <a:xfrm>
                                  <a:off x="0" y="2235417"/>
                                  <a:ext cx="1622738" cy="721217"/>
                                </a:xfrm>
                                <a:prstGeom prst="roundRect">
                                  <a:avLst/>
                                </a:prstGeom>
                                <a:solidFill>
                                  <a:srgbClr val="4E8BB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94" name="组合 494"/>
                            <wpg:cNvGrpSpPr/>
                            <wpg:grpSpPr>
                              <a:xfrm>
                                <a:off x="1661375" y="47222"/>
                                <a:ext cx="1622738" cy="1877071"/>
                                <a:chOff x="1661375" y="47222"/>
                                <a:chExt cx="1622738" cy="1877071"/>
                              </a:xfrm>
                            </wpg:grpSpPr>
                            <wps:wsp>
                              <wps:cNvPr id="495" name="直接连接符 495"/>
                              <wps:cNvCnPr/>
                              <wps:spPr>
                                <a:xfrm>
                                  <a:off x="2472742" y="47222"/>
                                  <a:ext cx="0" cy="463639"/>
                                </a:xfrm>
                                <a:prstGeom prst="line">
                                  <a:avLst/>
                                </a:prstGeom>
                                <a:ln w="571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496" name="圆角矩形 496"/>
                              <wps:cNvSpPr/>
                              <wps:spPr>
                                <a:xfrm>
                                  <a:off x="1661375" y="1203076"/>
                                  <a:ext cx="1622738" cy="721217"/>
                                </a:xfrm>
                                <a:prstGeom prst="roundRect">
                                  <a:avLst/>
                                </a:prstGeom>
                                <a:solidFill>
                                  <a:srgbClr val="EF804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97" name="组合 497"/>
                            <wpg:cNvGrpSpPr/>
                            <wpg:grpSpPr>
                              <a:xfrm>
                                <a:off x="3177861" y="48344"/>
                                <a:ext cx="1622738" cy="2908291"/>
                                <a:chOff x="3177861" y="48344"/>
                                <a:chExt cx="1622738" cy="2908291"/>
                              </a:xfrm>
                            </wpg:grpSpPr>
                            <wps:wsp>
                              <wps:cNvPr id="498" name="直接连接符 498"/>
                              <wps:cNvCnPr/>
                              <wps:spPr>
                                <a:xfrm>
                                  <a:off x="3901902" y="48344"/>
                                  <a:ext cx="0" cy="1412309"/>
                                </a:xfrm>
                                <a:prstGeom prst="line">
                                  <a:avLst/>
                                </a:prstGeom>
                                <a:ln w="571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499" name="圆角矩形 499"/>
                              <wps:cNvSpPr/>
                              <wps:spPr>
                                <a:xfrm>
                                  <a:off x="3177861" y="2235418"/>
                                  <a:ext cx="1622738" cy="721217"/>
                                </a:xfrm>
                                <a:prstGeom prst="roundRect">
                                  <a:avLst/>
                                </a:prstGeom>
                                <a:solidFill>
                                  <a:srgbClr val="FEC74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00" name="组合 500"/>
                            <wpg:cNvGrpSpPr/>
                            <wpg:grpSpPr>
                              <a:xfrm>
                                <a:off x="4649982" y="10732"/>
                                <a:ext cx="1622738" cy="1922787"/>
                                <a:chOff x="4649982" y="10732"/>
                                <a:chExt cx="1622738" cy="1922787"/>
                              </a:xfrm>
                            </wpg:grpSpPr>
                            <wps:wsp>
                              <wps:cNvPr id="501" name="直接连接符 501"/>
                              <wps:cNvCnPr/>
                              <wps:spPr>
                                <a:xfrm>
                                  <a:off x="5413422" y="10732"/>
                                  <a:ext cx="0" cy="463639"/>
                                </a:xfrm>
                                <a:prstGeom prst="line">
                                  <a:avLst/>
                                </a:prstGeom>
                                <a:ln w="571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502" name="圆角矩形 502"/>
                              <wps:cNvSpPr/>
                              <wps:spPr>
                                <a:xfrm>
                                  <a:off x="4649982" y="1212302"/>
                                  <a:ext cx="1622738" cy="721217"/>
                                </a:xfrm>
                                <a:prstGeom prst="roundRect">
                                  <a:avLst/>
                                </a:prstGeom>
                                <a:solidFill>
                                  <a:srgbClr val="5DCCC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03" name="组合 503"/>
                            <wpg:cNvGrpSpPr/>
                            <wpg:grpSpPr>
                              <a:xfrm>
                                <a:off x="6206279" y="61223"/>
                                <a:ext cx="1622738" cy="2879125"/>
                                <a:chOff x="6206279" y="61223"/>
                                <a:chExt cx="1622738" cy="2879125"/>
                              </a:xfrm>
                            </wpg:grpSpPr>
                            <wps:wsp>
                              <wps:cNvPr id="504" name="直接连接符 504"/>
                              <wps:cNvCnPr/>
                              <wps:spPr>
                                <a:xfrm>
                                  <a:off x="6941987" y="61223"/>
                                  <a:ext cx="0" cy="1412309"/>
                                </a:xfrm>
                                <a:prstGeom prst="line">
                                  <a:avLst/>
                                </a:prstGeom>
                                <a:ln w="571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505" name="圆角矩形 505"/>
                              <wps:cNvSpPr/>
                              <wps:spPr>
                                <a:xfrm>
                                  <a:off x="6206279" y="2219131"/>
                                  <a:ext cx="1622738" cy="721217"/>
                                </a:xfrm>
                                <a:prstGeom prst="roundRect">
                                  <a:avLst/>
                                </a:prstGeom>
                                <a:solidFill>
                                  <a:srgbClr val="4EB38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506" name="文本框 44"/>
                          <wps:cNvSpPr txBox="1"/>
                          <wps:spPr>
                            <a:xfrm>
                              <a:off x="38637" y="2246064"/>
                              <a:ext cx="1622425" cy="883920"/>
                            </a:xfrm>
                            <a:prstGeom prst="rect">
                              <a:avLst/>
                            </a:prstGeom>
                            <a:noFill/>
                          </wps:spPr>
                          <wps:txbx>
                            <w:txbxContent>
                              <w:p>
                                <w:pPr>
                                  <w:pStyle w:val="29"/>
                                  <w:spacing w:beforeAutospacing="0" w:after="0" w:afterAutospacing="0" w:line="320" w:lineRule="exact"/>
                                  <w:jc w:val="center"/>
                                  <w:rPr>
                                    <w:b/>
                                    <w:sz w:val="21"/>
                                    <w:szCs w:val="21"/>
                                  </w:rPr>
                                </w:pPr>
                                <w:r>
                                  <w:rPr>
                                    <w:rFonts w:hint="eastAsia" w:cstheme="minorBidi"/>
                                    <w:b/>
                                    <w:color w:val="FFFFFF" w:themeColor="background1"/>
                                    <w:kern w:val="24"/>
                                    <w:sz w:val="21"/>
                                    <w:szCs w:val="21"/>
                                    <w14:textFill>
                                      <w14:solidFill>
                                        <w14:schemeClr w14:val="bg1"/>
                                      </w14:solidFill>
                                    </w14:textFill>
                                  </w:rPr>
                                  <w:t>课堂教学</w:t>
                                </w:r>
                              </w:p>
                              <w:p>
                                <w:pPr>
                                  <w:pStyle w:val="29"/>
                                  <w:spacing w:beforeAutospacing="0" w:after="0" w:afterAutospacing="0" w:line="320" w:lineRule="exact"/>
                                  <w:jc w:val="center"/>
                                  <w:rPr>
                                    <w:sz w:val="21"/>
                                    <w:szCs w:val="21"/>
                                  </w:rPr>
                                </w:pPr>
                                <w:r>
                                  <w:rPr>
                                    <w:rFonts w:ascii="Times New Roman" w:hAnsi="Times New Roman" w:cs="Times New Roman"/>
                                    <w:b/>
                                    <w:bCs/>
                                    <w:color w:val="FFFFFF" w:themeColor="background1"/>
                                    <w:kern w:val="24"/>
                                    <w:sz w:val="21"/>
                                    <w:szCs w:val="21"/>
                                    <w14:textFill>
                                      <w14:solidFill>
                                        <w14:schemeClr w14:val="bg1"/>
                                      </w14:solidFill>
                                    </w14:textFill>
                                  </w:rPr>
                                  <w:t>3.71</w:t>
                                </w:r>
                                <w:r>
                                  <w:rPr>
                                    <w:rFonts w:hint="eastAsia" w:cstheme="minorBidi"/>
                                    <w:b/>
                                    <w:bCs/>
                                    <w:color w:val="FFFFFF" w:themeColor="background1"/>
                                    <w:kern w:val="24"/>
                                    <w:sz w:val="21"/>
                                    <w:szCs w:val="21"/>
                                    <w14:textFill>
                                      <w14:solidFill>
                                        <w14:schemeClr w14:val="bg1"/>
                                      </w14:solidFill>
                                    </w14:textFill>
                                  </w:rPr>
                                  <w:t>分</w:t>
                                </w:r>
                              </w:p>
                            </w:txbxContent>
                          </wps:txbx>
                          <wps:bodyPr wrap="square" rtlCol="0">
                            <a:noAutofit/>
                          </wps:bodyPr>
                        </wps:wsp>
                        <wps:wsp>
                          <wps:cNvPr id="507" name="文本框 45"/>
                          <wps:cNvSpPr txBox="1"/>
                          <wps:spPr>
                            <a:xfrm>
                              <a:off x="1738568" y="1232225"/>
                              <a:ext cx="1507490" cy="883920"/>
                            </a:xfrm>
                            <a:prstGeom prst="rect">
                              <a:avLst/>
                            </a:prstGeom>
                            <a:noFill/>
                          </wps:spPr>
                          <wps:txbx>
                            <w:txbxContent>
                              <w:p>
                                <w:pPr>
                                  <w:pStyle w:val="29"/>
                                  <w:spacing w:beforeAutospacing="0" w:after="0" w:afterAutospacing="0" w:line="320" w:lineRule="exact"/>
                                  <w:jc w:val="center"/>
                                  <w:rPr>
                                    <w:sz w:val="21"/>
                                    <w:szCs w:val="21"/>
                                  </w:rPr>
                                </w:pPr>
                                <w:r>
                                  <w:rPr>
                                    <w:rFonts w:hint="eastAsia" w:cstheme="minorBidi"/>
                                    <w:b/>
                                    <w:bCs/>
                                    <w:color w:val="FFFFFF" w:themeColor="background1"/>
                                    <w:kern w:val="24"/>
                                    <w:sz w:val="21"/>
                                    <w:szCs w:val="21"/>
                                    <w14:textFill>
                                      <w14:solidFill>
                                        <w14:schemeClr w14:val="bg1"/>
                                      </w14:solidFill>
                                    </w14:textFill>
                                  </w:rPr>
                                  <w:t xml:space="preserve">母校满意度 </w:t>
                                </w:r>
                                <w:r>
                                  <w:rPr>
                                    <w:rFonts w:ascii="Times New Roman" w:hAnsi="Times New Roman" w:cs="Times New Roman"/>
                                    <w:b/>
                                    <w:bCs/>
                                    <w:color w:val="FFFFFF" w:themeColor="background1"/>
                                    <w:kern w:val="24"/>
                                    <w:sz w:val="21"/>
                                    <w:szCs w:val="21"/>
                                    <w14:textFill>
                                      <w14:solidFill>
                                        <w14:schemeClr w14:val="bg1"/>
                                      </w14:solidFill>
                                    </w14:textFill>
                                  </w:rPr>
                                  <w:t>98.71</w:t>
                                </w:r>
                                <w:r>
                                  <w:rPr>
                                    <w:rFonts w:cstheme="minorBidi"/>
                                    <w:b/>
                                    <w:bCs/>
                                    <w:color w:val="FFFFFF" w:themeColor="background1"/>
                                    <w:kern w:val="24"/>
                                    <w:sz w:val="21"/>
                                    <w:szCs w:val="21"/>
                                    <w14:textFill>
                                      <w14:solidFill>
                                        <w14:schemeClr w14:val="bg1"/>
                                      </w14:solidFill>
                                    </w14:textFill>
                                  </w:rPr>
                                  <w:t>%</w:t>
                                </w:r>
                              </w:p>
                            </w:txbxContent>
                          </wps:txbx>
                          <wps:bodyPr wrap="square" rtlCol="0">
                            <a:noAutofit/>
                          </wps:bodyPr>
                        </wps:wsp>
                        <wps:wsp>
                          <wps:cNvPr id="508" name="文本框 46"/>
                          <wps:cNvSpPr txBox="1"/>
                          <wps:spPr>
                            <a:xfrm>
                              <a:off x="3232593" y="2235436"/>
                              <a:ext cx="1524000" cy="883920"/>
                            </a:xfrm>
                            <a:prstGeom prst="rect">
                              <a:avLst/>
                            </a:prstGeom>
                            <a:noFill/>
                          </wps:spPr>
                          <wps:txbx>
                            <w:txbxContent>
                              <w:p>
                                <w:pPr>
                                  <w:pStyle w:val="29"/>
                                  <w:spacing w:beforeAutospacing="0" w:after="0" w:afterAutospacing="0" w:line="320" w:lineRule="exact"/>
                                  <w:jc w:val="center"/>
                                  <w:rPr>
                                    <w:b/>
                                    <w:sz w:val="21"/>
                                    <w:szCs w:val="21"/>
                                  </w:rPr>
                                </w:pPr>
                                <w:r>
                                  <w:rPr>
                                    <w:rFonts w:hint="eastAsia" w:cstheme="minorBidi"/>
                                    <w:b/>
                                    <w:color w:val="FFFFFF" w:themeColor="background1"/>
                                    <w:kern w:val="24"/>
                                    <w:sz w:val="21"/>
                                    <w:szCs w:val="21"/>
                                    <w14:textFill>
                                      <w14:solidFill>
                                        <w14:schemeClr w14:val="bg1"/>
                                      </w14:solidFill>
                                    </w14:textFill>
                                  </w:rPr>
                                  <w:t>实践教学</w:t>
                                </w:r>
                              </w:p>
                              <w:p>
                                <w:pPr>
                                  <w:pStyle w:val="29"/>
                                  <w:spacing w:beforeAutospacing="0" w:after="0" w:afterAutospacing="0" w:line="320" w:lineRule="exact"/>
                                  <w:jc w:val="center"/>
                                  <w:rPr>
                                    <w:sz w:val="21"/>
                                    <w:szCs w:val="21"/>
                                  </w:rPr>
                                </w:pPr>
                                <w:r>
                                  <w:rPr>
                                    <w:rFonts w:ascii="Times New Roman" w:hAnsi="Times New Roman" w:cs="Times New Roman"/>
                                    <w:b/>
                                    <w:bCs/>
                                    <w:color w:val="FFFFFF" w:themeColor="background1"/>
                                    <w:kern w:val="24"/>
                                    <w:sz w:val="21"/>
                                    <w:szCs w:val="21"/>
                                    <w14:textFill>
                                      <w14:solidFill>
                                        <w14:schemeClr w14:val="bg1"/>
                                      </w14:solidFill>
                                    </w14:textFill>
                                  </w:rPr>
                                  <w:t>3.60</w:t>
                                </w:r>
                                <w:r>
                                  <w:rPr>
                                    <w:rFonts w:hint="eastAsia" w:cstheme="minorBidi"/>
                                    <w:b/>
                                    <w:bCs/>
                                    <w:color w:val="FFFFFF" w:themeColor="background1"/>
                                    <w:kern w:val="24"/>
                                    <w:sz w:val="21"/>
                                    <w:szCs w:val="21"/>
                                    <w14:textFill>
                                      <w14:solidFill>
                                        <w14:schemeClr w14:val="bg1"/>
                                      </w14:solidFill>
                                    </w14:textFill>
                                  </w:rPr>
                                  <w:t>分</w:t>
                                </w:r>
                              </w:p>
                            </w:txbxContent>
                          </wps:txbx>
                          <wps:bodyPr wrap="square" rtlCol="0">
                            <a:noAutofit/>
                          </wps:bodyPr>
                        </wps:wsp>
                        <wps:wsp>
                          <wps:cNvPr id="509" name="文本框 47"/>
                          <wps:cNvSpPr txBox="1"/>
                          <wps:spPr>
                            <a:xfrm>
                              <a:off x="4757079" y="1249392"/>
                              <a:ext cx="1449705" cy="883920"/>
                            </a:xfrm>
                            <a:prstGeom prst="rect">
                              <a:avLst/>
                            </a:prstGeom>
                            <a:noFill/>
                          </wps:spPr>
                          <wps:txbx>
                            <w:txbxContent>
                              <w:p>
                                <w:pPr>
                                  <w:pStyle w:val="29"/>
                                  <w:spacing w:beforeAutospacing="0" w:after="0" w:afterAutospacing="0" w:line="320" w:lineRule="exact"/>
                                  <w:jc w:val="center"/>
                                  <w:rPr>
                                    <w:b/>
                                    <w:sz w:val="21"/>
                                    <w:szCs w:val="21"/>
                                  </w:rPr>
                                </w:pPr>
                                <w:r>
                                  <w:rPr>
                                    <w:rFonts w:hint="eastAsia" w:cstheme="minorBidi"/>
                                    <w:b/>
                                    <w:color w:val="FFFFFF" w:themeColor="background1"/>
                                    <w:kern w:val="24"/>
                                    <w:sz w:val="21"/>
                                    <w:szCs w:val="21"/>
                                    <w14:textFill>
                                      <w14:solidFill>
                                        <w14:schemeClr w14:val="bg1"/>
                                      </w14:solidFill>
                                    </w14:textFill>
                                  </w:rPr>
                                  <w:t>母校推荐度</w:t>
                                </w:r>
                              </w:p>
                              <w:p>
                                <w:pPr>
                                  <w:pStyle w:val="29"/>
                                  <w:spacing w:beforeAutospacing="0" w:after="0" w:afterAutospacing="0" w:line="320" w:lineRule="exact"/>
                                  <w:jc w:val="center"/>
                                  <w:rPr>
                                    <w:rFonts w:ascii="Times New Roman" w:hAnsi="Times New Roman" w:cs="Times New Roman"/>
                                    <w:sz w:val="21"/>
                                    <w:szCs w:val="21"/>
                                  </w:rPr>
                                </w:pPr>
                                <w:r>
                                  <w:rPr>
                                    <w:rFonts w:ascii="Times New Roman" w:hAnsi="Times New Roman" w:cs="Times New Roman"/>
                                    <w:b/>
                                    <w:bCs/>
                                    <w:color w:val="FFFFFF" w:themeColor="background1"/>
                                    <w:kern w:val="24"/>
                                    <w:sz w:val="21"/>
                                    <w:szCs w:val="21"/>
                                    <w14:textFill>
                                      <w14:solidFill>
                                        <w14:schemeClr w14:val="bg1"/>
                                      </w14:solidFill>
                                    </w14:textFill>
                                  </w:rPr>
                                  <w:t>68.75%</w:t>
                                </w:r>
                              </w:p>
                            </w:txbxContent>
                          </wps:txbx>
                          <wps:bodyPr wrap="square" rtlCol="0">
                            <a:noAutofit/>
                          </wps:bodyPr>
                        </wps:wsp>
                        <wps:wsp>
                          <wps:cNvPr id="510" name="文本框 48"/>
                          <wps:cNvSpPr txBox="1"/>
                          <wps:spPr>
                            <a:xfrm>
                              <a:off x="6272638" y="2220435"/>
                              <a:ext cx="1556385" cy="883920"/>
                            </a:xfrm>
                            <a:prstGeom prst="rect">
                              <a:avLst/>
                            </a:prstGeom>
                            <a:noFill/>
                          </wps:spPr>
                          <wps:txbx>
                            <w:txbxContent>
                              <w:p>
                                <w:pPr>
                                  <w:pStyle w:val="29"/>
                                  <w:spacing w:beforeAutospacing="0" w:after="0" w:afterAutospacing="0" w:line="320" w:lineRule="exact"/>
                                  <w:jc w:val="center"/>
                                  <w:rPr>
                                    <w:b/>
                                    <w:sz w:val="21"/>
                                    <w:szCs w:val="21"/>
                                  </w:rPr>
                                </w:pPr>
                                <w:r>
                                  <w:rPr>
                                    <w:rFonts w:hint="eastAsia" w:cstheme="minorBidi"/>
                                    <w:b/>
                                    <w:color w:val="FFFFFF" w:themeColor="background1"/>
                                    <w:kern w:val="24"/>
                                    <w:sz w:val="21"/>
                                    <w:szCs w:val="21"/>
                                    <w14:textFill>
                                      <w14:solidFill>
                                        <w14:schemeClr w14:val="bg1"/>
                                      </w14:solidFill>
                                    </w14:textFill>
                                  </w:rPr>
                                  <w:t>任课教师</w:t>
                                </w:r>
                              </w:p>
                              <w:p>
                                <w:pPr>
                                  <w:pStyle w:val="29"/>
                                  <w:spacing w:beforeAutospacing="0" w:after="0" w:afterAutospacing="0" w:line="320" w:lineRule="exact"/>
                                  <w:jc w:val="center"/>
                                  <w:rPr>
                                    <w:sz w:val="21"/>
                                    <w:szCs w:val="21"/>
                                  </w:rPr>
                                </w:pPr>
                                <w:r>
                                  <w:rPr>
                                    <w:rFonts w:ascii="Times New Roman" w:hAnsi="Times New Roman" w:cs="Times New Roman"/>
                                    <w:b/>
                                    <w:bCs/>
                                    <w:color w:val="FFFFFF" w:themeColor="background1"/>
                                    <w:kern w:val="24"/>
                                    <w:sz w:val="21"/>
                                    <w:szCs w:val="21"/>
                                    <w14:textFill>
                                      <w14:solidFill>
                                        <w14:schemeClr w14:val="bg1"/>
                                      </w14:solidFill>
                                    </w14:textFill>
                                  </w:rPr>
                                  <w:t>3.96</w:t>
                                </w:r>
                                <w:r>
                                  <w:rPr>
                                    <w:rFonts w:hint="eastAsia" w:cstheme="minorBidi"/>
                                    <w:b/>
                                    <w:bCs/>
                                    <w:color w:val="FFFFFF" w:themeColor="background1"/>
                                    <w:kern w:val="24"/>
                                    <w:sz w:val="21"/>
                                    <w:szCs w:val="21"/>
                                    <w14:textFill>
                                      <w14:solidFill>
                                        <w14:schemeClr w14:val="bg1"/>
                                      </w14:solidFill>
                                    </w14:textFill>
                                  </w:rPr>
                                  <w:t>分</w:t>
                                </w:r>
                              </w:p>
                            </w:txbxContent>
                          </wps:txbx>
                          <wps:bodyPr wrap="square" rtlCol="0">
                            <a:noAutofit/>
                          </wps:bodyPr>
                        </wps:wsp>
                      </wpg:grpSp>
                      <pic:pic xmlns:pic="http://schemas.openxmlformats.org/drawingml/2006/picture">
                        <pic:nvPicPr>
                          <pic:cNvPr id="511" name="图片 51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441648" y="1444524"/>
                            <a:ext cx="719390" cy="725487"/>
                          </a:xfrm>
                          <a:prstGeom prst="rect">
                            <a:avLst/>
                          </a:prstGeom>
                        </pic:spPr>
                      </pic:pic>
                      <pic:pic xmlns:pic="http://schemas.openxmlformats.org/drawingml/2006/picture">
                        <pic:nvPicPr>
                          <pic:cNvPr id="965" name="图片 96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5057738" y="427751"/>
                            <a:ext cx="719390" cy="725487"/>
                          </a:xfrm>
                          <a:prstGeom prst="rect">
                            <a:avLst/>
                          </a:prstGeom>
                        </pic:spPr>
                      </pic:pic>
                      <pic:pic xmlns:pic="http://schemas.openxmlformats.org/drawingml/2006/picture">
                        <pic:nvPicPr>
                          <pic:cNvPr id="970" name="图片 97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3558484" y="1461641"/>
                            <a:ext cx="719390" cy="719390"/>
                          </a:xfrm>
                          <a:prstGeom prst="rect">
                            <a:avLst/>
                          </a:prstGeom>
                        </pic:spPr>
                      </pic:pic>
                      <pic:pic xmlns:pic="http://schemas.openxmlformats.org/drawingml/2006/picture">
                        <pic:nvPicPr>
                          <pic:cNvPr id="973" name="图片 97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6601843" y="1448175"/>
                            <a:ext cx="719390" cy="719390"/>
                          </a:xfrm>
                          <a:prstGeom prst="rect">
                            <a:avLst/>
                          </a:prstGeom>
                        </pic:spPr>
                      </pic:pic>
                      <pic:pic xmlns:pic="http://schemas.openxmlformats.org/drawingml/2006/picture">
                        <pic:nvPicPr>
                          <pic:cNvPr id="988" name="图片 98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2106411" y="439043"/>
                            <a:ext cx="719390" cy="719390"/>
                          </a:xfrm>
                          <a:prstGeom prst="rect">
                            <a:avLst/>
                          </a:prstGeom>
                        </pic:spPr>
                      </pic:pic>
                    </wpg:wgp>
                  </a:graphicData>
                </a:graphic>
              </wp:anchor>
            </w:drawing>
          </mc:Choice>
          <mc:Fallback>
            <w:pict>
              <v:group id="组合 16" o:spid="_x0000_s1026" o:spt="203" style="position:absolute;left:0pt;margin-left:-0.3pt;margin-top:12.05pt;height:174.3pt;width:436.1pt;mso-position-horizontal-relative:margin;z-index:251942912;mso-width-relative:page;mso-height-relative:page;" coordsize="7829023,3129984" o:gfxdata="UEsDBAoAAAAAAIdO4kAAAAAAAAAAAAAAAAAEAAAAZHJzL1BLAwQUAAAACACHTuJA0jM/ZNkAAAAI&#10;AQAADwAAAGRycy9kb3ducmV2LnhtbE2PwU7DMBBE70j8g7VI3FrHKTRViFOhCjhVSLRIiNs23iZR&#10;43UUu0n795gTHGdnNPO2WF9sJ0YafOtYg5onIIgrZ1quNXzuX2crED4gG+wck4YreViXtzcF5sZN&#10;/EHjLtQilrDPUUMTQp9L6auGLPq564mjd3SDxRDlUEsz4BTLbSfTJFlKiy3HhQZ72jRUnXZnq+Ft&#10;wul5oV7G7em4uX7vH9+/toq0vr9TyROIQJfwF4Zf/IgOZWQ6uDMbLzoNs2UMakgfFIhorzIVDwcN&#10;iyzNQJaF/P9A+QNQSwMEFAAAAAgAh07iQPYqoWMqCAAApTYAAA4AAABkcnMvZTJvRG9jLnhtbO1b&#10;TW/jRBi+I/EfLN+78YxnPHbUdNWm7QppBSsWfoDrOImFYxvbbbpC3NAuXBDiwGVXIJAAIe2RGwJ+&#10;Tdv9GbzzYcd24jbpblMFZaVN7bFnMvN+PO9ndh+eT0LtzE+zII56Onpg6JofefEgiEY9/dNPjnds&#10;XctyNxq4YRz5Pf2Zn+kP995/b3eadH0cj+Nw4KcaLBJl3WnS08d5nnQ7ncwb+xM3exAnfgQPh3E6&#10;cXO4TUedQepOYfVJ2MGGYXWmcTpI0tjzswxGD+VDfU+sPxz6Xv7RcJj5uRb2dNhbLj5T8XnCPzt7&#10;u253lLrJOPDUNtxb7GLiBhF8abnUoZu72mkazC01Cbw0zuJh/sCLJ514OAw8X5wBToOMxmkepfFp&#10;Is4y6k5HSUkmIG2DTrde1vvw7EmqBYOeTmyqa5E7ASZd/fXVxXdfa8ji5Jkmoy689ShNniZPUjUw&#10;knf8xOfDdML/wlm0c0HYZyVh/fNc82CQUtNmxNI1D55hjEwHI0l6bwz8mZvnjY/UTGZjx8CmnGki&#10;7Dg24TM7xRd3+P7K7ZQ3d00r1qAVsdm7Ilbbkd3uphILMKAmWMS23ymxEHBDSJZDLcukK0jWgpmt&#10;kgUAlc10MHs7HXw6dhNfqHbGtavUQack1cs/L7/99c2/P8Ln1evfNGI7kmbi/X6kVDHrZqCVC/QQ&#10;EYcQ0Jt5ZWQWcygjimSIWHWFcrtJmuWP/Hii8YueHgYR36nbdc8eZ7nUveIVPhzFx0EYwrjbDSNt&#10;2tOZBcgMy7uA58PQzeFykgDCZNFI19xwBIbCy1OxZBaHwYBP57OzdHTSD1PtzAWwJoQSa58fGRhS&#10;e41/96GbjeV74pHk+CTIwZaEwaSn2wb/p2aHESwyTQpS8auTePBMUFCMA18lzgkcuWPocIA0dW2A&#10;ETjmrXCWYEKFXLjdAmuRhTEzQeWkRiCC2GKNqMyd4W3b7HvVCgeVJGtqBTwStFtSK2yETAt0DLSi&#10;cvyCdFxo4QmQDJuGIGt57LfXCsoQ3UStWAfsOQBUUicuXj1/8/v3Vz/9cfH3LxqB8Rl3S/ejUOTC&#10;BWj4HhibFISez2zRCoYRli+08xdcr2jwMfiP10FfDZfq8HVkHxxgvocmfEmMRJgti5EVfH130Kel&#10;ediPpVPsRt44Bp+YgzLfMAdIAYkz32qN8AiGqQGPwj6tCI/IspAJwCc0nWEsWNEiDshmzGBNh7Rl&#10;hRaorKxRytSMfNxCK6qW1uVuHAhn5sTPQaUwA3wb4HDc7EBgwjAjuI2CCiuJZVrmFiqlA7EWqIQo&#10;aiFUqmBNcPdmqKxKN8KGaTAxv0VD1gCYR8e2ARHiFjCXygZUQgZnLhSFESDjioBpIsZsCxwt7hrZ&#10;JhGg2yIOEJJDWN4EzJYVWgCzssb9AuYsOJ0DTBWlLgmYpmMgyFW0UXDrXC4IudaCmGVM3XAuqwH1&#10;zYhZFW/pYgrxaFGRNSDm8VGfkf4WMZfLn84Qk3LHu+Zi8pHVERMSJ5CNlPqODGZe62I6EJTLFGEl&#10;jdeyQgtiotka94mY1GiNxvkjQcclERPCNJOAa85tzgIKbl3M+RzVGgCTchu2wMXk4zPu3gyYNemG&#10;iNuU8+8PMOlhv98/2ALm6oBZpmdUZYgaKjGzUmkI0sIWZjL7ZiGwoZwVLeKAbeYg3ExctqzQApiV&#10;Ne4XMGcpjYaLSQ2V21gSMC2HIAfMCAfMBRTcupj342JSo8y61FxMPr4KYlbFG6qkDjJVjFUkqGvZ&#10;+TW4mOTowJR1J1CgWrJzQ7OYs5TcmhJy1CjzNZc/vLh89fry5+eaDK5VJo4bUi0/P4ihTl66T9ni&#10;op5pW6bUfoyJZcjKXR1BCYCmqGLYNlTZixJYUaQv6naqtJfekN8uU88iJyw3xbedn5+cK8GWlTRt&#10;Ci0UUOH7/NRNfb2SXOYAH8X7p3k8DETtkE+Xc6qZZj4KKee7TY5So0yVVHjRVNFleYGgyEYtyB5w&#10;5xWbkGJW1qpUVvg+wqt9vKa05YZUuGoYVmZeKtxoZjGX5YYJHKC8jAS0FtG52cxnUkx4SXjLjYWd&#10;BxTqncrpr3BDJRLLnPKy3CCMQkVFenoIQxnPaQbHhDiMW82tbizqA6EIBFWGYBVuVNORq1gNcLqx&#10;xTsChG5ggxQtMjOkovB8E7lRtedJ4HXhv7IhcDXXoXNzNyHMyk/Bgu3t8tWisyeBx2t3/KaCXKjM&#10;gFy8/OfqmxcahRGwh8VrchK0DATe49j7LNOiuD92o5G/nyVgcZWd79RfF7e1bzwJg6TojeHX6mRQ&#10;qW10/y04l+wsPIy904kf5bJVMvWhGQf6NLNxkGRgpLv+5MSHvpz0gwESVW6QB+jwKWIy0b74Bbb3&#10;DcPBBzt9avR3iMGOdvYdwnaYccSIQWzUR/0v+WxEuqeZD+d1w8MkUHuF0bndLuxVVF2dsgtSdFPK&#10;9p7CgYGtiVJ6sUXwRzlJ+F6zPPVzb8wvh9BJxGv2wAvusBYPBGln1OR0b3GwCEEWUTadQAsSbpRB&#10;GAIsU0aEYaq6/srocq5L5HoHS+xL7kRcwsakEMHF3YuxY4HGqzyPFGM+stFijLdiLJppIfBkogcM&#10;EJ9gxmgjjvxfiTErbaVCY/AsNluMza0YCzE2KbUJ9HuLEItYAM3XybGEZgn9t4p37xmOWZllLeVY&#10;ZEjrbsImeRVkK8dCji3LQLZqxkYEfKaiI7dwwGt4vOlyDM39DbdCtvtvrhzTrRwLOcYIUo48+OFu&#10;BfjBINIAt7P84xrEWAR88Fso4eCr323xH1tV7+G6+uuyvf8AUEsDBAoAAAAAAIdO4kAAAAAAAAAA&#10;AAAAAAAKAAAAZHJzL21lZGlhL1BLAwQUAAAACACHTuJAQe/oU58XAACaFwAAFAAAAGRycy9tZWRp&#10;YS9pbWFnZTUucG5nAZoXZeiJUE5HDQoaCgAAAA1JSERSAAAAdgAAAHYIBgAAAWqgV4cAAAABc1JH&#10;QgCuzhzpAAAABGdBTUEAALGPC/xhBQAAAAlwSFlzAAAXEQAAFxEByibzPwAAFy9JREFUeF7tXdu3&#10;HUWZz8M8zIMP8zgP8zAPPvjgg3/ArMUL5xzAOLK8oXhHHJwZnYkzKKgzs0MuRiCESBKCBAwS4AiB&#10;JCjhsFBMkEsCgQQ9aCIxiRrk5Hr2/X7pqV91Ve/q6q+7qm/77HOS31q/dfbp+urW1V1dl+/7alkY&#10;ThWu+Nv5lROnGPeJS2YUV046YZxfOVkUYn4EhaecXums0zq4W7s+6YgoQ8iA8vrrWIRdgQiA+r+I&#10;NoxYuvNTPgGdg1bN+y2iDiO3DgxzbL+x1/ut5qr+5ndV/qOysf8R77fjDLzftZ1rvd/L0Bz40WU3&#10;R160JSLvww/1JoVBhkv66ixJYuAWHZByvshqgIrOX//gXa8+8j3vN4+MJ0deGLTqXqBOQP7mESV0&#10;oeoTq33/1x79H+//4sqJrSLaEMPAKBIRVdCRtKJGgd2HbSyXuYuFiQ+KS9EoFiZXUDlKCrEgdMHG&#10;Lx5gt2nglDd81ncdFFFcqAGA+j9Y3nSD03jtae9/Ec2FvEhFVNk+9Rvvty9i7713vAA9EfU9lvRF&#10;dgZ9L0CP3L9w2vvd/s0vvd9e5PLdn/MuRlFN2ItcefCbXiCF5i8fDI8sL9ZntvLfOqRccfWH+d+L&#10;hamvscgTc16AYO3pDSKKC3ldvS/8hgHywqBZ9QJ1NvZu8v0vorpQA9TcKvd/3fc/KKL4oQqEUYjS&#10;oCKA5wuTHxAi8cBu6joqQZoTcyJaMtCJxqdIzgwqMthl7xww6HWdxrOb+ZtQ3nC9U/3xfzmDWtEN&#10;67TIuKBIPgiq86rtup0nqF830el3nX69TIaJ7FxQbZgkQ51haYhsg7eXitCvnOfXAT2s8sB/ipBg&#10;GHWNP+XuB2V4Ed082lC9lpZU5rjNvv7H/bZcPxRadY1T23NXPD75/WF8niaRMT6d6gU8rXhK1Wtx&#10;ocYt/+jfnd6ZE75rINnGg27bqWz+iu9av1ERyUZDjQNS13imEnpgk32F1a5dZWnNR5zq9pud2uO3&#10;OeWNnydl0LtTmZLdpy4Edv70WzKBMDr9Xqi8yIYGFUFl661f8IRV9M6c9L6YYRTJ24FKIA5FMumB&#10;9qEyAPnYIE+wPv1aORFhnJ0vTN4qgrKFWisTS4XJ94toyUAlakuncMXfiGTsUCpMXUklFJeh03Ed&#10;VGSVlZ982+meOMxfm+7cCae+Zz0pp1IkTYN9HDZRkUpr/5lnAvTOnnIqW7/mFO/4JJ9TtN/eL0LY&#10;7G66EIgrKbLwA21ACaN/Bqgwnb3qfKgsu9WHRFZDUIJA8+UnAtejWPrBx3g8Kkxk5YKVYqcuANR2&#10;3+m7FocAdV1kGaxl680Zp1+96LsWl5WtN5EZuxkWrvg7PYAS7p77M3kdbPx8owib8l3n17SPArur&#10;zUAtG3s3O+3Zfb5roETj2S2hYXjoqDD9WiBTSgjEbDksrPbI90LDqOvWmSYllV7umfYqwQfSmCmm&#10;y+QwNIJq/G75vO9/0JhpEujx1f9BY6aNkJWFKKjx9f/BQKZdNmiuEyN4W6jxZFz9GuscrrxRv0gJ&#10;2qD62P/54vRYe1Z3fNd3DXR7Je0iJsT1p/0PBBgFajjKr+vX5IhCD+CBRATJ8r3/wgtV2fYfZDjI&#10;49/m7xZBnqGEHgjyiKuuDlw3EajvviNw/Wzhmr8X2blgw8q7dSEQaP/hYOA6xcq2b3D5ypYbyXCR&#10;lR+UINg+cYQnNmAzutL3PxoIb736JA93et1AmKTIggYVQRJtiEUPHabZvUg6GlTEpBRJ2mG+cOU/&#10;UYnE4KxIKj7Yl347kWAomXxXRM0GLNFpPROQPfnHhcjCQIy5yMLZc2IO3bNIcnxADZtzY2HiQyLb&#10;0SBs5jNqovMWRcoeYfPJcWDs6X8YqMSNXLPcqT+ziX2BOuLzYIsBm4CfdCr33kSna+DZwhXvE8WO&#10;h7hrH+3Dz4kCu2j99leh65mhvO0qNjBdxz/jEv1W3alsuoGWD6Gogh2oBChWH75FFIkVqjrvlNZ+&#10;hJRLQ3VfsB9D8wAfa1GdcFARdVYfvlVkn26xIi5li/e1/YEI7hDVCoIQDlC+h81XdpLh+XOK5w/U&#10;nvoBEe4nRkSiekNQgipL664VWTh8RY+SGSUxNwC6J94kw1VeLExeJarJKxo94mHzNQkyXGFj38NC&#10;cojKj/6NlFWJ911H791jpKwkni6gffQVMlylqKq5VTGhBUp3m3tXzEF0YA2XklVZWjO8oRLtP75B&#10;yqqUW2pR81rBab5DQQR4xGo3gO8fFb7QxEwTGLC+hApXiTmz3Ioh2T3pLuuXsdJOhI8D++LJo8JU&#10;Gh9hCWwpUOHjwF7xjFtGIkwlKjurX1TZPfsnnlD5ni+T4Rj1jAK90jk6f8ZevcxlqDCVy7CLSAVI&#10;YtAAtN9+kQwHsXyXN8qb/Hv9KiWoMJVWvbEEFSaZJ5ovTZN5gk2x7FXfG70S5a1q6LoiOrFsCQwa&#10;tH6PZO/Cu1wuS0R9tioPrOAyg3qJDFfJKypBCaisTq/kCfctEu6ePcVl08D03Szf766aDvq0NonG&#10;aVFNF9h8J4R8RCclge1OSsbPKa7KBI0vE7qnjzrl9Z8m0giy/c7rPE5//j0yXGXo6h/WeKgIOjHV&#10;4plZtHKWxMBfAq8WJaNTVI1GnDUm2eUDZU0zKkvKlgTqu24nZQjaLx6z5vdU1k2sK3ccSDv9qz74&#10;TaevfM7447r6GlKWYiJ9mEQriWuWO51jr4pi+oFhHfZlMeLBVqk7iB+4gQrQu1Z3fIdOP5oviaIn&#10;BxayiITHiekrSYE93oeIzBaEqdW34oBluEMvQN4MbHUuFLD8wVq+SRUyIaczWwAfBbj2cGHyZjFv&#10;ZjMsd2jK/ud2cuzmbMMCAqy8RJTFA1c5InqsbcFp7AaKJMcL7lBz4jRR6NRkrZ/fBlYcYHiJsSdV&#10;yKzJKr1bZDtaoNOIM8LKlIXJFaIY+QOPFVmIETP3Xpq15nkq4wUj68VF0bJDojHy6OifmKcBkXgs&#10;wswUi3awAHdXMNyBP1YLsU+DyX3lJ7cw2aAmWlyKIidD0hbFzjk0HqkZTSR6Ha5cjJkTla6JotjJ&#10;QCUYxcr0SmfQdVfnJWBrBV19WAdiWYcbfUGH/+7PcX3+5swWrtsPa0IV2NRKsFuY7JGO8/1EJQbt&#10;higmqyCbp0JdAAvolHwYoZYA9QQVrTefJWVDGbfTYpFeCiQSQm4vJoAdcZsdOxu2XtsjUmU3r9t2&#10;SndeR8pRtP4sxVEclAtvgK60nQWxZ6uuc1V5R0bL6hTViQYVkaK3PNrvWi6rJiesWiRgxEvJBGga&#10;aTEhq8k4llAB3HUqPA/KPScACiyUjE5RLRpUBJ3S1KPfDPo6yJtqhYu3f4KUUck62Z2ian6wAKOe&#10;bY31sBJU+CjoPdIWO+2gqJ4flKBOifIWu9X4vNirua9R+/AMGe7nxDpRRRdYO6IFh5RWhJ13XiPD&#10;R0nV2LBIaO/rFNV0wR7h6EUyNnyTIMMVVrf/t5BkGAxi9dT4TkvUCZszlc0Du7hc9/TvyXAf1SUe&#10;UkAh9IwAm20NHb12k5TT2fnL70SMIUy6kBIl81jaHUZGWU5LSlBhPt7xKSHpBymrEVseOmo/XUnK&#10;SsqhpY13B15Z9iNSu02aymBfhgrXqWNQmyfldLZZX6DDZEcEJTQAkw8qXKWsLBkoCZc/QG2n30At&#10;jOUffpHdGdddAXdYtcp+9617ztXMAXQbszAOIlwjqOTr0lSASmiOAXnoEmdBTA8BaOJR4R4xGyID&#10;FEpQYePA+sy9vHxY8aDCJdkXZ5tVZbGvSoWNA8v3uobdGAdQ4ZLYarGqLGXYOy7EigfQLUar1LPK&#10;nrKqbHd+jgwbB8LJogQVrtKyZS+QYSCWX3TL68z59IbQXh1rWgB6ZSp8yIk5u3c24hsLR5mjAGX0&#10;C0rdLKxmUuEKZ60qC1BhYPOF7UIiX1B5g9CsASjPpCqtOyiACgPhGSpvQOuVyhtsvf0ilzGZ3HAf&#10;PlSASu+jff/XyXAwb8CPAZUvCOMpwOeEjCB3vcma9zgVKCkNHJqvPkWGg62XH+cyeYHKU1KCClPJ&#10;x8bwCUUFerScyw4GfSGVLTBCovID8SUAOnN/JMNV8soCVKBKOamOUoutbPkql8kSvfN/IfOSlGYu&#10;ZqVNxfUkLTBk9dH/5Yn2I763YI3NVLKCaZlWdow20zufSTm7YLRRhxIzAKVmKlyyqvhbTAobGyK5&#10;dg2lbypcpaimC5utydpjbutaaW6v/rDTZe9RElCuTnTWhdOlQcdmyYfwnmqzawdVWACrClS4zvJd&#10;n3G67x7jcaLQY31C/fltLI55Q1o67ALK93yJlFFJ6jfarEWpNjz1Z+6hZUKI7Uh0cPAAidaDN0h0&#10;LPAMScmHUb5OzQPhn0KVonpBUMI6pSUIoPsSypveHlPxDBkeYJSrB2h8kpE01pU9F93bci5cdTVf&#10;zwJsF/7Ya2n2M8gEI83VJOEJSKJz/HVSJguWN98ocmEVZe82JUPRekOaikyxojzSWFHEsisll5TS&#10;+hnonHyLlKEIxTRRFTOKhal/pBIhyT4zvYt/FUVidYZbLfatJWUtKS2eJXRPwQZWRTXsgd0vIqFQ&#10;Yp0XbqBUwE4uarYkCYNfnGegGzt1DItoFEXx44NVeIZKMIoYfFBbGWwIwDsXWH2gN8UinjTy1cFt&#10;2BPoQiX2QCJBJWpF9njXWU/dU1b5Q8GeiNaR5432dyaKIqdDkhYeJVO3qI647/CoaP2JiYtYvXTO&#10;ZIOGI6JY+YJlZjXwyItWTnKyhO3QMmOGO8YZBTCFspkepiFLP+gMZyEhFgBSeuUbklWwOV+YXC6S&#10;H29g1dK0TEtwmjy94FIFboZY/p1OcDOtKdKeRl6XGyAj4PUXSnes8TI12syEokzT6FJyG9MsBYiP&#10;13bGkVj15UGUHXW4pN9uMfQauf34AnDH2Nis5wVhUbKgk4cF5uzIJy954ULhqn9gFbK2hbpUyLrs&#10;Q1gWELdp8aBYmFi5mL+Xo6VmqjFuwOiQNebovLAvOU7MZL48mgZ0IfMlNq6xkA7raRz4xxXStC2X&#10;RGBpIC2kibT5Yj1xUssoKG7v6DGyN3TNcn46eOfoKz7bpmgM+PYRtpS4Q7HKBXdbiW8tXeCnkSHM&#10;3WKyM8dH3u3fv+w6Hkuw/RSfEzMjnyPjG0oXJhtCtax94rAz6IafPoCGgRZl9Yk1/GhVOA+n0opD&#10;pIG0kGbrwFM+x/4BsLe7c/KIdkB8HhzBNxijXPaWZu9nBXuaT63zlKt04NhibMGn3cZPQ+SNMvTK&#10;50Sp/IDKAYyK8+i62T0v5jaKhiIGlWkaQulEns7rQ7/HFUbSbkjnSehtto4d4GXVAfN41I2Kl4ax&#10;lGFMQD/PEs10YQF6YuhKdXSOHwo962ycCdewUP/SAQt16rC4lJxN/e3FchjvBugMYhMNOmhWRbVd&#10;QDGPq3nG9Dwzllx1NVdolMqGEqhzlg2MNkm8VGnrydmGcAilOp4BoFJafXw1Kb8UCE/TutYa7oGt&#10;12krxj1RLTNVAfYWqi6TAChDx1XEXszkb7BQAJdoHNyTSQ+FNiI14ylk1agwdtRHuXAlnrf3pHEk&#10;6qy6UQcwisY9ouTj0Kpx3YFSeneuVTa3k8cXAfwthXkvIXspkZ/7phjtwTCHOuA4PidORw6omFBq&#10;paXaT29jM4DhFAArNuX7zAdqmVi+63qn8cwP+RQDU6Tm6z933XvltuQ3xUfojRcf5QsROFS48evH&#10;nMp9/xpqkm1DTOGkyQqAh97kQ8aStM9F6ujtuOTGiL22KDJr1MoFbgxIydqysvlGp3/htEiRBrfj&#10;TXGzdeLUfbxNYejjTbOw9wsj7ol6nhEMJTN5c6nzednrnMplOEZ76loujvFJu1KEb1P3veMixWiY&#10;zNttCe+lWOkyAVMY+PSi0rAhfBCoUz+YUKQfMWv2lEajbwO5j8uzJ0URXWRhkQevbPJQOhNqT6wh&#10;04hL2HL3Q5YNVfCTSFI+uNJgXaJ35mTqTwvaUjQrXy5Mpcapn90Y5eIgLnEMU6SxLRuMNJ67j4yb&#10;lPgOwidxGPrsTTM6mrIkNhtUmE5AMxFtyRuVH0tBCNgSroikgw4AN8TG9CwuS7d/nC9oNF7Yzv1f&#10;NJ7dwruzLL+tOlE3LDQ09+9wGvt2cOezcM9GySYl7pX6EOFeljZ8lpS1JXc0UixM3kwF2rK+Z70o&#10;kouoAxAvk6Z0gyORerzA2hTdcOTBqya2DrrOOiUqeIsIucsMp3TmJGFy6mQi2jS1PZk8lxXAjk0W&#10;qymXGnHPVAfrFq7JTITrsnTTHPZVdUvDALUTk6OpywwS9wxW4RJmB3smWjjgM1EFd8E4xsdHjyvh&#10;HhL6WCoouTjEN/YUFWDLrrIdByUxjCQpuVCuWa48rXj7FzPdXivuXJTPLCoXeXzA5OzURLRp6sGT&#10;uoAArT+s3FByUYTmxFIB6kLVMYpw1as65TC57DWRD57mLU5+iCKcJKuwcXauE6exLBVUHvoWWcco&#10;SofTEibH0yayNt2Geey1VKAtsQIj3ZIDfIJtcSiDSsjj7LDFDtQhSd3VBR6otcY5dogk3KvDoTwZ&#10;GIPSuT7HoJ9onbjEBl1h6qeLAdg4Rx2oukURnqxUDYv2W8+TcnHoHV7L/km1DwtfZb6NdcxnN36e&#10;lI1i5Z4v+VyCLRbggUyy1Ih7pCqlY/suA5Xb4b6slfNIA2HrogIHjFByRrJRcjvkDPhxBM6rT7oj&#10;o5/vl2R8ojNgUc8uptOeYJWTR/ZI2BzdE0bYyOhafuMEaEGk2eHRnQvi3lkcKWRiUIsChy6x0VQ6&#10;Rx6sYL13j4qiumgd2EXLWrK2c22IH7+FAZQJ6k+uJctqS3kYlgQ/FCvlPixvu7Cz0eEFhYoUhzBs&#10;6mgjXJhrJDg31Ud8w1qHnxMpjh7Iu7TxC2TZbIl70FF8nQIYSdsc7Wai0SkWm9xmYqODg/dUYGUl&#10;K3sWjD6hZNY992eRevbA5kZj/w6nZHE8pA2h9iIPJZRoxz0zN4RoM9F80Ui7aCGJTWocJanC/e5m&#10;vDm+6mqnsvUmp/Grh/gbgWMF+PeZMJjywMIgA0W59rEDTuOFh9wHz3AQW3xO+U6KBXAmMKwLafl4&#10;RFuJZrMDewp2UwnFJd4ueTirxKBVy0z5bJyJOvY1Ox64mk4y36WINhLNFQ8scma+mNxRrr8rwhuz&#10;FBsYddKNpjEATLLcGMF0LkOLhckVRKKJCb0hdVOZo9/l3dViNv9A2XmXy+qiAnXN3JTSdKC3LeIc&#10;527L6sO3BCzwAJwMVduzfmyPw1SJMtZ+tpG09UXdKin0jsOYuRMw2IawD/UhKrM0LN15nWuRpw2y&#10;AMwZoVNV3nQDGXchiLI0D+72KcdLYFCEOSrqRMVNQ3bvj6Q2eI5C2t2gKOKmtd6cCTWvwHcLy3AY&#10;UfK16BxVT5E28kBe7dl9AYNtCQyOWm/szVXX62Jh4tPi9ucPlmFmXqcpltmkHfYxvfeO88XxMAx6&#10;Xa6XC0uE9tv7+QGA0JTE5jVuNrQToFME9RMQv/k1hDEZyCIO4iINpIU0w4DNju7po6xshdSLLiay&#10;t3Rnrm9pGOBJjCpQHuROuzBX3buZm0K4XberjpIPWNosD2gM4pQO5B33xKs0XHAvbVShRssprjlf&#10;fujbfJoB7QPo5UK9BI3SK53jWn8SMPHENYRBBrKIA8V3LOqX7vpMvl28JcXtHQ+g22CFyrWLXopE&#10;lztWfhSjgEEWK3BmHmeWIKsjHRRlDXealL3zr8VK3IsFGRDlCd5VFyZXXEpvMq8rq/OSa8wowE8R&#10;vi+MS8ppNd9AieuDaSkDbm2K/Gi59J5rRseJOXSv1v6WLsMF1D2E4xM22k5nQJaOPO9pXpYwFZTL&#10;yA7QoeVW+VjqLEzezLr1bewN2geyhphlf0/5Hwj+hsFeCWFcjscpTN6KNJCWp5e7aLFs2f8DuZuN&#10;1jcPaBwAAAAASUVORK5CYIJQSwMEFAAAAAgAh07iQD7CHaS9EwAAuBMAABQAAABkcnMvbWVkaWEv&#10;aW1hZ2U0LnBuZwG4E0fsiVBORw0KGgoAAAANSUhEUgAAAHYAAAB2CAYAAAFqoFeHAAAAAXNSR0IA&#10;rs4c6QAAAARnQU1BAACxjwv8YQUAAAAJcEhZcwAAFxEAABcRAcom8z8AABNNSURBVHhe7V1JdxXH&#10;FWaRBYsssswiiyyyyCKL/ICc400WPgkC24mHJLbjJD4xjicSDyHOgB3H9nsCg22wscFGNsZ4wLbg&#10;SQYhBklITEIIEAgZBMgCgZiFQEITolNfddVTdb3bc/UbhL5zvqOnqltVfft2V1dV37o9zQ231c2b&#10;XlaV7irLpOtEkj9mVqUtN5ZVpfqEWC6oAhSF+AQoIS+KYs6CZwYuO4R0Np3+hv8VRZ2FX27+Mvub&#10;oiwM8rOqZgJPb/uQ/1XTJR2FYQ4104/OwsyOaqZsUf7V6Sis6/zOwU3WWwdq+F+ZplbkWvjZxpXZ&#10;DHBbz2H+98Vda7JpOYVx5cgEnX3DA9aifdW8dQmk84ISeiHJ4RujOWmssaWi2AR0IYpkQRVUIVBk&#10;+4O1sHxmJtX7y6r5PxFJ3mAF5lAtSgqxXFDCFH9RXf59UcQGJeRFUcyGmvHp0e0OQZ27eo/yvzkF&#10;wacaKhz/6/Qs/M2lHmtwdNiRplIWBh2F5aWn/1bpWnhlR0P29wO1i7O/1YpcCz/D7qqlbRsZa60/&#10;bHorm37fhtezv7OFM+nZ03AV4R+1dkkJNc1xwgApqArJtMbTHfyvRE5hABl64fHx8Zw0UBRxghLU&#10;KURpUAXAGZmXfyxEwoF1z69SFZJkBhDFooGsNAJFdf6gCpugqD4Xbp0XHtZx4biTVHjZEA37dUte&#10;xHNNbRgUzfqf3qN9Z/iR7zxzhMz3ItUwv8r5A0VJVAm8qzzewZ6rF63ewT5HmhephsFs/0MR0NP+&#10;s+szMh2cu/3jnDTXhvHo1BNVNvS084YkFrRmSLmFrVU8X093bdjNxhLXx0ZyKCFl79mwyPG/Ss+L&#10;C1Az3CrRKeXkX4pNrLdXGya7T5npVZFKCSqPomiGBgYpazp3kgV1fhFQjrFDVB8MRAWhKKqJD9iH&#10;aoATY4MkMSOTviM7EcmkDjLOFVlmkaOZB8vWvfIjUSwaqEqDkk0IvyOqCYaZ1eU/pyoKS9b3u0/H&#10;VTDhRr1wXIqqabCrcDFVyARFE07ABpSwKZZlUntEUxOgBEETkHWJpmyw+26N2pBKtVAU6uVFk963&#10;hl4oLPXyvMFZlYu+pybqXNhaTaYHpd4ou1iHfDuA53d8wguO3BizfrfxTVLGi4Ce5tlo//AgL/RK&#10;81d8jQao6dpHyroR0NNC25NK8yIl79roe+1brLHxGznpwH1srKSnuxHQ01wbfaz+PbIAleZFSt73&#10;9H5wuD77v5wRqDKSa483k3lUmmejoA5KBgRmuaTraZ6NypXFJeyv/L1gb+5AHMs8VOUglT5tVib9&#10;sJ54Rdwq1AAc64PA5u62rDzw6NbljjrUPD2N90pqQrplLSmoE/jV1wuyv/V8ST0vO6JQE4HZW5c5&#10;BCluOXnQOj1wybp586a1on0rKQMC6v+8QQlV6I7qcocgxXfaavnpBvC/F2SZ3JXHTHqRLBy00Rvj&#10;41Z3/wUyn6JoyglkhGkUoPIoiiZofNm5i7zfdGJ10GtBU6Wo2htUwagUVQbDjEzqZ1QlgcmmHKKq&#10;8JhZlaogK3VjJj0mipoBG8B9QjZUle4UIoUBxlweBxeMmVQvumdRZfHAa9hsmrOqy38qms0Pkp75&#10;BCbrvMUhmUeS88m4DD39dwOrzPgsPSne/fm874rDDgdTax+FoFAhGKgK3Hh+sJ+PKQqNPeeOOY4L&#10;D2uhjjvUAkEoX/5sZuNULPznmwfOf8vbp9b4WT/zkVArFznCASiVjfPSKQ7xTgEgleVMVQj1JkAL&#10;+vPsQB9v7LOjO8j8pOmvbNoqqy6/XajpORwregZRFhSqRrcq2N1/njfmhrXHmslyphhUWRiUv6Gg&#10;Mv248dv9vBHg3zs/JWVqvt0nJCzr8fr3SZm4DKosmOMTFoTSWw2g8lU+Ub9CSAaf8oZhKGWpRD8u&#10;E2unAJWv8s7q+ULS4m9qKZk4DKcsXq4RGX7Eug+woauVzJeUq2aHLp4k8ymy2Q0vgzb+vOVdUkYy&#10;rLJzqYwgPHHlHG8IwPL8uuN7rPcObclxYoJ7FVXejePiROIKovJVhlI2bm8M/rbmDWsD64x62TN3&#10;YHTYOn7lrFXRXkfK+nFgZIgfPFYOqXydIZS1VzWwMkBkklx3Yg+vPCpUN1Sdp65e5DJd7HFG5VMM&#10;qixXVIISUClHSsCqjm2kjBfvZZ1T2wV7HAtUHHZavvXcCZ6OK0NN92MQZfkzVgVevlOC4OXha7zC&#10;lnPHyfywxLsiQC5sV59o4f8DuqwffZV1W/3DGg9VQOLu9Qtz8qIQvqDA4NiItUB4KwF4TGGA0nq+&#10;KzD7hgZ4WTdlhWo0qDUmiSBr5kEo19WlhQHp/IppW0PP4dDMef0RZvEY3hWyoIRpZSXwRpKSi8pI&#10;/jDSyhJJKPuSz06LkGwUhx4dWMgiKi4mxleSAjxaiMYKwtjuW2GANR7qIJJkzqvOQgHLH+wEDFEH&#10;GYUYDBhbAM8H4D08I5N6hs+bbfdFPjSV++TgT40FBKbUdFGkdMCdI0KMtSnCongbKKosLqCjYAd4&#10;ijrw2EzyBVYY8OElG3uSB2mcqUrRbH6BTkMdYeWTrN054jCSBy4r6iDyzcR7aXYpXaAaLhTRi4tD&#10;Mwc5Ri5GoucWhxkfJTAuBuOPjYvZogTjKUxUWNSMfEnn7/lplqE7LVaoZJxGKAZ+LIVxHHxk6zKx&#10;3lB46Mcm1PGGXsiLeA9TLNCPzXekxe7TUJNxVdnnmj7Kce5Imv9glKCOT6hFgyrgRVVZKj9pYgFQ&#10;gspnvfMaoZoTof1sGYtdWVCo5wQl6MdSUBb76IWKNvjaESHox1JQFhRq2mAdU6RFMryZw87y1/d9&#10;TeYnzaDKOpZ4KIFSYFBls8NIz53TAYi9Gnjl2D9yXTRrcRc/bHOi5E0yqLIgVxZaU5lB+Mqer0RT&#10;NOBn8ZuaidA0phlaWSojCP+7+wvRjI1Pj2y35jZ9bL2w63Me2UqF3MplmmGUZePl6ZGUVX2b4AdB&#10;yfy+domQsKwL1/tJmbgMoyyfDVEZfoS7LUBtLVU5e+tyLgf8cfPbpEwchlEWbx4iKSv9lLBjlMpX&#10;KbdDfu3jHBaFoZTNpOsiKSvxZMMKMl9lbfcBLttxqYfMj8Nwlk13xVL2r9s+JPNVSm+3w5dOkflx&#10;GEZZMJKy8FUCtp7y90KzL3grTKwX7tAJrzkqT2UoZTOp3kjKqj4R6JkpGXDeTjtqEhBmPzxcA4GD&#10;F7rJfMmQyh6MpCxGTdJi8DXEGFmX+aeIrwAgfJ+e70bULYGN5pSMZF46KPDRuonHCgArwBfpkyNN&#10;/LkqMTI+RpZ3IxQE4H5L5asMadm5kZUFsS/9xs1x0VwuTl4NvkNbUmJj934yX2UYZXnoTfajU88I&#10;y/KWdVY7623RccG9Dj3wExH2BDy/fbU4dDr4gs4wytpj40x6NpXpxXvWL7ReZZMABG6QfLtto7Vk&#10;/wZ+GcI3cSKv1nXDhE74MgLwXqXydYZWFqAyKeKyvTxke6hGwb7zXa4WU1c97q8JFjAmsLJ47EiQ&#10;Ahpf18LrYlysR8pwowr04lT0GxnIBBsZ9Tw3BlXWsaXcb077pLJd5dL1q9wKlJwXEQ1aQu9p8QyW&#10;wPqzmufFoMoKNW34vZocFa6y2ANA5Qcl3GwlZDRncNPJNp42NDrikPdjIGXVS1jC7a2dDNgDeI2W&#10;grJ87zpRm32AclsLoAfM9GMQZUn/Rre1qM+O2HPXs4NXcvKiUD1AjH/RWwO4lyl5P0pQeaBQLxeU&#10;8O6znbyyvYb2B4ASTzeuFL8sPhVEHnpsyj2eImQl9DZAz1AP8PjUC8D3Hth+eiI6elxKfHVst/g1&#10;cYtEhd4G/LSEWu7A7EAtlKSycqjZfnFirouOi9oD4EWM2NT6wcAvpNVCSSkrl3aAh2qXkHKRGcbf&#10;cVblqz+UBZNW9uLQVVImKsuq0teEGsEho0gneRkDiCtIyUSlOPzwYPfvhiSVxRsDKj8qI0cgkVhy&#10;oOY0VvvnE2HpohL1Ye+dvh8vDo3tHYCFqQaKhbEtqkPew8XGwI+YsFB76UKzLJPaJw4rWegDj3wz&#10;UJAck6CGlonTKzBOPoAplNv00ByJYDiFBDqKOG/xc5hJD5WtS88Q1Rc32MFi1TLUMi1OFvn1glsV&#10;fJGBnUhxFcVe8/ZgJ2+DtTVlAEPgt391+e3ixBrbtGmM6E7YsaFLSWxMMxnAH17wiS3RXQmc/NhT&#10;Fbf03c2HXgXYP553Mh2LZs96UuA7Sgo8eSgome55n7wkhTvXp37AlCrpvVBJEGE+sCwgTlPpoKwq&#10;/UJJPy/zSCx0idNWnBAT2bxFYZ90zKQ2GF8ejQOxPXxnzoFOMSo7CjrgmrpDEya7g/M+R+bPUOpg&#10;pmiceXkG26Pc4oqzcisQHjCJjaLZKNd4hCD4Kb7WWsWdveCqe6sTXn3Y0kedK06Twb/Qzye1sACH&#10;VhOfT59MgNsKda6yZLaI/ezF6AzdANmAAVKGhc/M1ZHr1rXRoVuCauxfwNewjLBJ5JGzWyRnk6QM&#10;u/pIEyk7WamH4g9iWElPN1sK+XEVoA1bqO/8FIJwLJcx1CXCGBY2Ij3jKeTLqOCUYWMaFgxiXLHo&#10;kEw4V4JThjVgWEbYzHNABa8AqmBShGF7rl3kAwhsDgBXf9NIyk5GmjIsCNsJMzpBfXp7isnSpGFB&#10;8vu8bH4UK2S4KT5Qu9ia01BhzWMT9VRLJedLzV/wwHu4w3+9/jWyXCnStGFhQ2FOG+wBHHrTtyki&#10;/ia+pof5axjgS14v7l5jZI9noWjcsCCzpTArM2yybpwkF+2rtgbYBN0No8zQCINwbWTIGh6zQwy5&#10;oYnNBak95MXORAzLbMmNiqAURGZilAMmHQhs9/6hLZ4GQsQDhGtpu9AtSk0Ae/hyvrpU5EzIsHag&#10;EXxrhMpMgggT1Tdsf+dLAsuH/woYm0MloiXpJwVYEyLiUqGZlGFh00gfXo1CbNnv7OsVh28DH3t8&#10;MOZ2YBkiTwW6eUq22JiUYWHTvO0nU4NQSJj4PBoi9+CbrioQXgFBLij5YmJShoVN8zbNwbdnVWBg&#10;9Jc6Mx/4Q4xHFQhtKL+SWMxM0LDRAvBFoRoYSGJha/wuE118d/8FUaMNBEYJEgys0EzMsIzwX+qi&#10;MkwTCwv4Qq0KhLJ6LMZdizlsfU+7qM0GliX/Z/YLmFkikATeoSIUF4KPP7hxcawLKLFnLIKh5mvw&#10;BGKqgwhZKhBoJMo0BfGCe65dsisRwJTnzf3rSfm4fKqhIhsXVQIBXuN0+ckOniJ8+SEO712/iB+8&#10;DhgY8ZtwV9xFrCbhzvjT5qU8YIf8EL4K3EkIDa6XM8GHWbv6RYQvkscd0Sd3x6aWs3ls+g4qM2k+&#10;Ub/C8YH/qMCq1AeH6627EorhjjtSn6ah13mE9T6UfBgmZVgeXv22unnTqcx8ER9LT7Ws5UbW/X/c&#10;gEWNtcea+Z1E1WmKCFTcctY5LhgcG7b+vn0VKR+WSRkWNuXLiniXRwkUijD2Q5ve4i8IQBgQo9+8&#10;zk0zqWx4bAmExfd0Dw3JJAwLW3KjAm7BI00Qz8bH69/nwdUxLcHdhjsTz1STvDE+bg2ODPGI2DvP&#10;HOEj46gDG1xAmRMtrNYJIHYr4qxT8lGZhGFzdtSbvmsxkDmpzS8LATyDv+zcFcrIS9s2itITwAIL&#10;JRuHpg3ruFsl8NGlmQYCeaTZ81KfFkicG7xiVXXttVJ7KnmEYlN8lhFfI8DJb7vYbY2zu5dC/alD&#10;fAmSOm7JN9j8VA1tCSBCaxLvfY0altnO9dvoiIJCFgpAdF+6jyyAaQK8H6gySRLP5BrtGQngUfA3&#10;l4+RPL9jtTWoXZRqNGnTNGlY36BYzPKh9+hgqoEDUoFr/o2EFgvCEHNNzDlV4BsGc7Z94JCDO06/&#10;Nj/G1yySfIFvzLBB9/SEXbSYv3cdN6QEPuOB7paSLQQxwsYrQhXNZzuz+fzl/1Xny//TA5es+xP2&#10;yjBj2JAx+liBSrqiXMoPRkkgvjS6Qkq2UFzVsU0cnY3LwwP87RIGVfhwjgqMBRA7H+XwbMVzGVMw&#10;08Q8eUcsw6YqhbnCgd3igWIx6d0wAhzjaqRkC0X1k1AA71XYQG93rx0iXwJffXi2cWW2HB4n+URg&#10;w8YNGVpWlZpDVqywFA2LQRKmY5ifSgzdGM1Zb863YfEGTG2fImwizBMPPPgW0YBkqRkWxtSnNEDY&#10;z4kUgsaDgNn7elJ7qMZKzbBYpVLvVKCi3Vx49ySI2Nue+3PignobVEqG1Q0KbD7ZVnTH62TqPnH6&#10;k4e6BFkqhoVRdcPC2bxYdxOwc7wm0bvUDSJ4V2Pz2WPiNNnAInyxGXYZe37qgNNbsU3LBDuKIkob&#10;D1NbQsEwMXd9rmkV//44lV9AFjYqmxvsAVZxvdstBaLLLao4il7AICvJiDOlzrKq9LW8DopMA3dx&#10;lBcLk5bsXBRkQJQkeFddlZpzK93J0BU6TzpjegFxivB8YVfxJAtanaqEbkLNKSCsDaJ9MmPnLXJN&#10;bGLvE+teA8dbmoINuHsgaAYfbRcyTgZrG8eAY3F1QZmCObBn13Ts4MYoHBt+2fNsOTNAHciMcZDv&#10;TVIvCBjITjso5VCG/T8XdaAu1CmqL1FMm/Z/mUByaiCFrikAAAAASUVORK5CYIJQSwMEFAAAAAgA&#10;h07iQKkm0DQXGAAAEhgAABQAAABkcnMvbWVkaWEvaW1hZ2UzLnBuZwESGO3niVBORw0KGgoAAAAN&#10;SUhEUgAAAHYAAAB2CAYAAAFqoFeHAAAAAXNSR0IArs4c6QAAAARnQU1BAACxjwv8YQUAAAAJcEhZ&#10;cwAAFxEAABcRAcom8z8AABenSURBVHhe7V3Llx1HefciCy+yYJlFFllkkQWL/AE5h00WHM/IjyQG&#10;QgAnPPwIAQxxDuaRYAggkwdOYodHFGKwCQZsx4T42BhIBImlmdFIGskjjd7PGWlGGj1H0ow0M9WV&#10;7/fVV32ru7++t59zr6z5nfM7t2/VV1Vd/XXXu766LQ9289tuN1uHjpmtw5vFqTeikWELhojOvc5u&#10;ZmTooohl4QMyj33T/Z4fsdH1cx13ooh3EHoyfeBLb2QCgxJMCQj6wNPfLx/YHPsXdz16NwWez/iD&#10;/FTTjvyQQreVq8n/wtugjtCBA87+F//auZeT7oEcSIGHNyccx9/dud7/ef7lgEf+0UarSx0/YiLP&#10;LES/5uDfye9XYkHm0mzifxzYB4xWriUEmJGx0b7P8XUsR+TAeHNCx260q4v8ywE92HPXQ71JcpTY&#10;1yVYBz72blQDhtACgeLdG5TCJlLjbLRl6K3i1B3R1qGHkUIaPVP2Aj6wds3/x+74NQniEHqyQBAg&#10;vPaUYA5pzzBAeB1SDQiGAcLrkHrgiQ8l/xNzI8g40nvsEbtt/yMbjf1+Uo6YCJwIMLLB/V7cwe5A&#10;x88xDmxXLjtHFHj4D0w/Fwt6t/j/1uEHURjM4o85/KQuFJLKM/+t8wMD7OXJrGAOfcQS1CEavVP/&#10;BENuuzcb0CNMIY8iqkMLANotw78lIuVAxfNGLUKNUIAEqwYtUn7QizPWXt6dJNyV6gyU6HpDC+zJ&#10;Cfi605PeR3bPSdhTos/CF17dyAlUTNhTknMoqkNOIJ0wtRrYvWDCoCRb7HWObpx3CSh+Zvv7cv00&#10;8luOCkXzDMmRHvuG6heSsXhC9UszLn9UTv+A44pmfqj7o3Fy5qdJtxsXXJjQTeFtqDo1Dw589WjG&#10;3flF7lpK2AzH/oDDm90f1f2JWR3v/jMO5P/H12P3WHvqhY5cmlcO0GM+2ZEneiTkiJyoBztKYzEh&#10;ePZ/rFk4RI7UAgvdUzSLp210YTwbfvVGwk0tPtmjBUTb3smJSjI60Ejxd9cU6cvZJ9EXgxZJGUo0&#10;9QH9aAkw0TZoE5T43b4jYkaGJ+3I8KPi1SwyOevGrRt+U4JVQzrCbsjIbn7br0g0xWC3Dv1uOhKO&#10;CEhX/Jd2sbMmT29wfnc8BFWJ/6dFAKYjN+fHVfc0JWod9GI8qQXyTEdurxxU3TVKEklAB5pwyHTk&#10;ZRKlN35ckupAE0wzHXmZREFJyoHu4nlNKM105GbG1UZp926UJIt/h5nIT72ou3chJ2g33/UWzTNN&#10;s//L2cgxckO/GfcupJd1qVwuJz+R72dWVT+NxV+g1euqnyfLTH1G9UuzZ6Jxd0PxS/DkM8XkiN0T&#10;Hfs9F9EbD1t7/SxfMzAOtP09GXmPtHuaXRPlCKjdg8TTfmbvZ5z/uGuaeALm+NMJtzRzE6XoOALN&#10;L5r6LL251JvG9e6P0I0tOlnqCZoT33HX6TAB1UTNgY25Ae2Z19z1jYsZP08PzQ9UE+UAkx/nazNx&#10;v7XXjsV+5sDj1hz9ppMRN43sf3FC9aMu5fAHQwcWXl5w/3fcZ82+L3TcA7k0GYa6ITvfz//NkSfZ&#10;KR64CcilUuyQqpDtzPc713OvxNcZHn4ivk6EF/j/7OZbFKEQj0GFQgRzYYd7iwP3NFlucZY+r49l&#10;3MP/nKBHLLDjfQmhuuQ4/XV65JEK4ieihf0s1DR8opJUEt4zmnhAH8UqxT+NE8tN0CMUbIoSdXdo&#10;AatSoiwG6i78jhZJUaLLIVGVB7WDn9YizSMltiJBmwE14J7TExo6JCL9AdpceTdXlBR+FsWzRDk4&#10;KNpsboL29Tt+W5JdGxTp+YBVUXQoFIW33FLzoMi79ifT9Cgy6gl6lBn39Szd/c9Dt156N3pkBrMD&#10;crcznF4iVMmsp91876/KbZdD3thHUXqsZWY9JQvFoEVQlh79yCyIylqykw8tYBV69Mqsn7f0aCqz&#10;INUUz0q2stACVKVHt8yG9GgysyBaRJK9DjTBOvTomtmFA/Qa7+Zrj6Yzy9x6x9slm/nNsWrcILft&#10;4EeienLF9fUBs+vDukwNSlYb1OqpF+V26YbnUpN4BWhOuHEjxmWn8aYIhfIMheZZmmZZ7pK0mep8&#10;l+L290gsDqpMReIVTq4JK8v9fy23Rdq8djLpN3qXjba9Qx0j68nlBYmVMnzo73WZkqz1CttlN/Me&#10;gsdVz49Zc+Qpa974BPX/73fjb/s+b6O5n5D/khO8NEEPIbv8J8GT/+5kgeULukwJos07qXl0o5l4&#10;QO4AmXPL6Crx6Nf44TBWFmyE1Uh7P22jyT+30eGv2ujyHucXINpefagIwwKPah65lFE4wBzbpMtk&#10;SCV0tCqhHPj1VmV1mqV5CUlh515VZXqxcGlsx++VpBw0mVxe3kutpf3xf3v2Zza6Ub4+xZLYEJpM&#10;HuNRDSqk8teKEO3pH0n0hLP/nfSffZmdcfMYTeZrbXntzPPsB0Tzv8j6hzzwRRtdPWLt/GZ6yKk3&#10;gOrtEFwWhP455Ix6aAIgRediJfiFDzFPfo8bAwk3IsbqWT7l3pMTH3Lhdvxxx+3aCV6ClJAjmqsn&#10;WBZgmZR/SK5jQ2DyPSFE35QHN+tCP8+dH3D+KFRC9yiy0en/TLoV4a6HOD6z7V0dt4V9namBFLEa&#10;0kNdzAyZvNE/jPF4IYvXSBAGVokpugX6Jpdme84jFSEXfFimToVhtPODqoynpYfhEY0HD0koWdMR&#10;jzHJlJJHdH7U2ml6bY/TjfSbJ5+hsuIVegXcYibGYrJBgypVstQbWF3BAU98m1/LQUV0YYyXnIUZ&#10;rbQepuhI4qAQ42Vy69WBgSwt8kFhI5nUQMX4uJZgX1h3+VYZUMafVW+iRWamOvsFDH9QKbik3WQV&#10;ojHQ2AD4WoBXD48OP0I3vhnVAf26bRSyT45K/U0YQKBM3S5Bbh5g9s1nqCqdRu96i0Q5WEBBQTc4&#10;rd14XdLb0N4EVhmgeYm2p3aTTZNe95ck2bUFCo24haXx/Ii0b8qj53jV1qGH5TbaB14r9SYC2qUZ&#10;ufXywC4ELc40Wy+lqQSd1xJOM5HZSxOdlc45jJbmRLh4ZkGU4nJrzaFsGznMrOafJlaTeZTJLIiS&#10;W26zPqq0iwtldvRO549hlhm3TQgom1mwoQ5AtV5PocxiJxD8t91bO7Ng7QxrkRZhPzILVn6l69Sf&#10;/cosWLrQwiuhRVSU/cwsWLhaqrtwEOx3ZkHJTndoActyEDLbs6VFH3gjnfGByCxRsqVDC1CFhTJL&#10;NKsr/NtWZkl5z0vWkqBCqdQ6224smlnPtjILSvaS0ASrsnBml53FiDYzS0rcKFl0wNiRJliVhTIr&#10;s3G8QbvFzIKSTQdqQDQ2SMb0s+kE1d9TZtHDzNrdyS0FTTAxxKMJVCXPqQqi0z9WZTKc+qyEwCKU&#10;aV2mBuNmJDWv8ndOl6TZ8ym5Zcro9bOqTC6D2bjY6FSD5Mwi15pnaaZnxCssBwqh7emrQ86s5lGJ&#10;V90SA2B1/0ZdpgfN1OckBoK37dMQqb18eyOZxeSxR3RxpypTmGKvBYhO/0iXqUDuDWkeZWjG3yu3&#10;RjfXY69cUcLShke060FVpiwx81BfsytX5LZwYw8l/agO5fVOWNYXuvfilNsOC/TaiVyUVDZtrpfZ&#10;s7+QW6KbwoKRw09YrAynJyCuSWC5T3TwcT2uFM2F7RKKwonpwzqkltSx6pnd8xdyK0nwMp1TL9rV&#10;qceoNfQRtwAEWzyxyBrL5FnI8AJPNd6Q4etM6akyJVg5syF46dDeR1U5lViMgnDLV2y07690GSIW&#10;eobQZIqSXuPZapkl7XkU0pBGLOMJl/XQA2Arb1ikiaVGWBGX+hyiy1N6XAVITeLJ0pkN1w/ybmVF&#10;RuX291pz6KuqKT8stcUaqhC8cg7f6rZ3iouD2f/FbPgCLF9AkTY8eBWbJqOw84DEPsD8L1W5XL7x&#10;cQ7noW1g70W24aN55HLlmiRHT7jHyrMO3QaJ6ISsfNvzSfd/G1VLGdkupAfkkTZUWogwvUmV7SHV&#10;M00pVIBo+ru6jEZZA4mxJu/G/yvspw8RP7yCdG3jrcMPap4JUtURY/lSyn+DNVgFtzjjXk9tMwQ2&#10;SyxfdMYfrhzmaDIyBWh2OaNqHj2X3QfkzAKaZ4epfTphAmP3yFI/IhZ2rrrXHJYrEnGgJUUPyXku&#10;c2GV8A9Jr7c9+3NXXysNEHvmpy4eAEvtU/4audrx0ARiLp2WmClLYpvX01yhFtFKaiE1taRYNnQr&#10;SioHGOZ6bN7OXnXWjkKGKLSEPtxSntunpe/Cg5fDpvzZXWkUsPveT2Xce3JpjruK/r/Z8X4XF5XG&#10;CTnqHISIdv5J0j9FyaaDOjU5HtZvejUDwIaN5s6mZlLuvcjppExEc1xYchu4Med+wn5At85C4hX2&#10;yMzaSUECJJaxh7w2bW1qSbs5+V0XJnArSuzwwOaJ2G38D11cOU1R8mF/INPj8tTWNybGomRWHOg6&#10;loSpC8jQkzXnRuNWkDnyz7p8L0qpj9fZnN+GK2upzFBlwX2PsTwDazMUGcleFrEQadIjOvJPmQgS&#10;hG2o2R+73R8Xt9MTrjcUanZ8wEbUvTPX5605/m+qTEzRPEN5KF1NPcQWK4NIovT+ukHiAWdMDUhv&#10;n8E6LclWPtA7gHC4/h42XaNTL9no+L9m1+uvNTHMCru0V5IGhtJ1d+EJaQ6w0xX7NwPSdS0prPh6&#10;Rzty129wQBw5cOWQRDmAoMYH7AImMzp0RbJRHJj9CiNhW3Cxiac+U2yWaZTbLw96HV7VIhxUVrZA&#10;4kGvxT4t4kFjY3sHBl3DtTWaRuYbHhAWrmLKIi6lB4D0tk3IbbUL3/DoFwsZyWkSbRhD70XqruUb&#10;xlkL8M6PljdFYNmSJDcYQEGRO+JRgfQAl6ItG4Yl+sEGRi0LD9MK8bDQr5Yo1sGDDHiQ9GDKPswy&#10;RNz8plJa6wpoCDz+hw2brLyG16M1QNwTK52KlNbaNG8GuG2LQ0+3XYG1Sdw78nBLf91oetEbX37J&#10;OoYtp5+z9vR/WAv7aW2S0uABt26TUj2IPA7MnvW2gIY7vdW1Og/hGua1QrR4yprt96n3U4bI+5p3&#10;XtpCNPr2X6fiqdZeqJB9USzsXTa+in94HMMC8phuHlCL8rE26ktNsTwThFXNWB1Zh9ilgCI+hTYU&#10;GxIDXfLYBhPSkW3VCrum2KLmddM0k4+4VaVvPBy7JXZkCNpWrCd9CK82PjxaB7gZeutGtJttmo0p&#10;Fvv//MpYGJGWtVn9VKwnJiP62uBaiy80zTYUy6bQB0ixnu4LXuM+MupQ7Wba5q2kWM81qYOllVvI&#10;zkobvBUVC9KHdLG1VjQVDT0tBLXNW1WxntCBqKM+uC7t86yk562uWBC6qF338tBfN4Nla8x1xTpy&#10;0Vy15Rxach4UNqZYbNsWxdrLpFhsWiD3m0WxnqVPVFuLpQJV2JhiiWbsHW5wQpQK3myKZR1pK+M1&#10;DKpSwSYVy8OImC0KdsXdbIoFCylXBh1aMefaBNuoYwdt5KkKobOuDSoSaPBgrebZ6Bd7fJM1V48n&#10;9uDcrIoFoTtRYxLYiKcFGAjCCMe14/KoO+Bt4QVPcCnE6eCUJwEbFTn8D7r8oFE7n5c0XstkeFvE&#10;F0VPVx5zALRma6xu0LkhcYRQCNiiLr1LfY0JHYo6HbASTxPsK9G4ubhTHmsS5vi39DBNEVY2Vjtn&#10;Lca4MT/4xTLpUtTKg/qtLeOsxIOPxxvlQ6A45gP1tTBNExYJcOJZCtjMv3r823qYASB0yUrlYykU&#10;gb4Qe27nO+aVQkQzP9TDtEycMqUBx2mZGgcPtkoYGsFZI6rnWhM7vbUjMJcXrNnzST3MWhENtMA+&#10;Zgwqrg3MW2lh+knSKRpN9Q5erc0N1sy8KE8qiQhnKFaw0tgKsQH+kl7nR2d+Vt4aXYuETvu7n2zX&#10;A3rflG2aBfZbxu7hncBs3Yr6n3yAJnbtw5Ajjj28PGXtxW3Wnvsl+b3ELWmDoxaVk//qEicZ0h26&#10;Gw3ANiV2f0wNs9aETvvXzTn69YSFPQ+cLoy99Ob6edXfg/uwsKSweMraxWm+hqUg7aGTsDO6c+Sp&#10;RpTNVcPKVYk8icoDJg2Suz2aR5u0MOKltDZD8Bd7aZezmwWTijvu4xkZLb58Up+Uis9o6i+5SLeh&#10;ImBlCQZRYM+nahGKE2jPbZEIk8BZ/InDVPtAbOA+pnm0QhxSrjRC2G7XgS87RWjhmiLqa/RR2Yhp&#10;Z9CDj/FGkU4vktmNGZ8C9TqMVVCjyiojYgBbiT1Q0epkTUKna9N4wtc2/7+S5ST61Y1hjr/bGrR4&#10;UV+jKE8DVQGM6JglIV2nqwcq5qOrR62hUkYF1flq2i3SNZ4aPPlBo9nzKFv7SoMH12F6UAlTlXbs&#10;LmuOUh0HS4BQBOpbWPu7fpZa3i+4QQclXIKwLjhxvzvnGiUMfcX21AvE56nh9i13mD75wX6cCaoH&#10;iy/43Osucymw7diGjE4XoYFhartl+G7NszapJWtOBce/B4jmXitW3JWgobrU16Ns/RDmqQ5+herp&#10;Z7jFyu70tbVhlT+kOfoNTicDKvrNkSfVME0TOsUc7O2aZy3CaK82G4MO/f4v6WHqEIPzl8QG/bVj&#10;yuQANaRkRIvN67U9YgQ73JSOBnzVZuROPVxDhE55WJHK5ObmYWFEDVZeU2Crzj2PdCAF4EvmjVKk&#10;rMIt4Q3WnPk5p8M2D2EROvTHSgl0iwgGpq3Rog39W6BBkZ7XroBZwcn6BtQ1QpesVIDtOihCpUjd&#10;GLswJbcegBoc0dEuBiXpAXCnPzAuG4KLz0uTvU2NYu2SGJxloDiEBVwT2CzHVF+e5c9CxIt3j1Qj&#10;dK3KJGmOfE0SzyI6+T2SKRZPUWZ21Nf6ag9Q8Sr1WwiejdmVPxuD+gitSgADEjChysUYikrqu5q9&#10;pMyz1GIV5bAtyx6NEDtGXzmM0VNDh0ehTjzrWr7BorVSxGwSvjylFIrMKvdlDY5C0MJ67v4w27HW&#10;wGZfYeBQC1eSia/VA4cumZKGPMwovb3dujHdOv+weOwbGTAL0O3NpTrb+gdzfa6rkcHmuMHa2U4J&#10;wEX4gY3ui8dLt+8LVL10xo6j2VeUOALiSw/Mwyeweo0aen+jhytI6C73bHRYQdECaeSzo3gILwk2&#10;K11kMhp2HgjmxiUb7XlElwmI7oaHqXrcRBnCTrAYgo1QkmgyIMauBeZwD1PARHPkKZHOotakRy+j&#10;WKT5nnt0DPXvNHCxWXCIzh78koSicNPPqTIxMQwptlgjWMDWjspomvTy+OK3axcpUBTqU1UmTdz/&#10;1aMSKoULY6Tc4kcBgNCZqK87ug1aGNg9T9U3qANNhQVf5sR3EJjjMEtn3GEtKOq4ZUx1IluJ+UGc&#10;HmSaHtTIJZaohkf3nR+l+v+j7qGDVCqZuc5RBXzWSpnxbHwAOUt/2FqNFkYhdCVqKwYzMvRSJiKM&#10;rmg3c+anSbkyhAJnX+aB/zyYazM2OvS3eviWiWOP4nOhFPBw4lT+sUldCTPYi50TjWKQW5HWMnQk&#10;6ioHamUlbDEZfE1KERKdfDaRYD1ShkapAw+q/n1mfG8NdFPQr19IGkwH+OiLHlUadCNqqgYcHh1H&#10;SEWNmX1Vkk8CyzMN9sLwEs1m+2ZvKkJhGLPGOHRwTmAInunSwnr2OtC7KJLHuZPScga711ETmCnC&#10;AoRQiSk2bgRM9vWMx4lQx90uUOeaz1ZaRx1g1QhP73VpDVPLd6Lr/py6yM4G0ReMCXKsUZp7zTUG&#10;MDyIY1uw6nCdHd6Yp2dziif6uV2C/n6hEbGhd8njbx+1hiDXWYj0jJ9v9SvNgxjvasxW4jodqRuz&#10;byCstDkztesKrktW6CCawZUG1noRXZKuyB0gO4rdgEYWvYEDY3Fm0EjP5sqaNoqaBn/FA2D8a1CI&#10;Z9GXBlGbQIYwanIrfcmcV8rzm06Z3QA7Rahf6C2+aQ950EjKfKm0DaY3M+Q0j42k7IG1XJMm3ess&#10;VzVF7S2twwHLPWA0A61tPETt4a4FWYFo8dO95C5BWUdzoLrr9mjL0Ft5qHN0+BEqBjeRAjYzR4Yn&#10;qQQ4Fr4QTkHkxn5ebmiTHRl+lONAXH5d7k2L2277f2HchfB/5WW4AAAAAElFTkSuQmCCUEsDBBQA&#10;AAAIAIdO4kD/BbQkKRMAACQTAAAUAAAAZHJzL21lZGlhL2ltYWdlMi5wbmcBJBPb7IlQTkcNChoK&#10;AAAADUlIRFIAAAB2AAAAdwgGAAABofyEIgAAAAFzUkdCAK7OHOkAAAAEZ0FNQQAAsY8L/GEFAAAA&#10;CXBIWXMAABcRAAAXEQHKJvM/AAASuUlEQVR4Xu1dSXBcRxn2gQMHDhw4cOTAgQMHDhw4UMUlB445&#10;QBVUpDhAQhIwwQlZHAJko5KQzUmF7MEOWXCWAsc4W2EHJZjEeN7IshbbkkayZGsfy5IsWZZt2Xn0&#10;19M987+e/73Xbxu9keer+kqjXt//+vX+998b/LCxo+OLbY4z0l4sdCincLQXHdePbUVnSgWrBxeh&#10;d2FB/v10drbqpoLXoD1Mzl24IP+Onz3rcVfR/CMCnDuoolYi39Lb4x5fXq5y9dKlasAxI1fNauS+&#10;06erjqfOn/cE2tzT7e4tz7gHTp3yPM2GSnEER6a8rbe3+lvkWujAD9vI/UuL1d9Wj03peeyokbcO&#10;laq/I0fe1H1I/pURNeBww6GuKmmEG7oOmm6rKloNxDOQKng92oqFZ7kIoAoSjnan8CJqUVuh8E3l&#10;FIyrOwttXI6aKlg9uMDgBfGNH1s+U/3/h319X1JRKqCBKY+dqUR6a2zM466iVUA9KF8YGZF/6Vel&#10;6YlIq+PGzqKnSjrzc9Xfmp7Ib47XHu1J8gmCbws/VMehpSV3RIkiSmOJjfz08FD1t0kqQuTIuyYn&#10;qr8jRf61aFH0b9GIbI0U2fPIGviHRt5NHo2SjbzxwIFv+VXHn4hiM91VtBpEW3Y/jeRHFZwHF0Gx&#10;vgGwgXizv2MS4+kUSipaPLCJ+pDC9FPJhcOMGEaa2aOlQXdpddXjr6mSr0db54HvcxGCSDMFF8Uo&#10;4N6jRzxuJlV2FYgy3MQF8iOwyEgGmG4cVbbe14u+rksMfl4fO+Hh8sWLMuFR0gJTAlPnVtzi3Jz7&#10;/vS05LbRUdkUmmE3dnV9WXQoziPUERnTWq2JDjeoYQoiYLqJ7tBZoQ5pZ8xlCm5oLxSuoA5pZnzX&#10;4T7/jLkyzlpimamGdkwzY+Bm0rdIOs49Kssa4IGM0wTNdGPX/q+prOohxl5v08BpUSVvBy6BaCxs&#10;VknFB+Z0fOI1thWLV6rg6QOJ64mIYG97sbhFeaULKlEYxXDkqypaPHCJ2lIlYQ8M/rmEOKJuauwV&#10;nQH1w2RSJRkMEXgHjRhGgPtNqZLmgU+di+THQTFTnV5Zqf7vlymosqgHFziIZibm/wZ3qGxqYAIF&#10;8qzo/PtFE0rdQjI1OgDRMHOB/HifGDeZGdzXf7TOjaPKMpqUGPpziQMPiIxNd5MqS2+mY2RKSDl8&#10;Zsn9hZhjAFeT8JqA6ebDsTopAXPw9tqJE9IdMMODWOUCjogyfm96Sg7ePhC8s6+2iEPJZmq6Bblr&#10;otPXy02aq59/zsZLLVM/olj+O3vS45Z5psCzx4553DLNdN/Jk2y8hkhqumWa6SXxIYGme6aZAtcw&#10;cx7M7rZSB4D+H+YexNNi/PzAQH+de12L5Je4n7sf50WGXJzq6iB15AIGuQeRiyMz1NCOXEDtfqOx&#10;7hNGgP6PxRaVXQVYjtMB08LtRtursvICHj9Xi8gm0aXRBCjpSpdfWJUFDzNwGvxeR8cXVPL+4CLG&#10;pUrSDuayQRyqpKKDSyyMbZ2dX1fRkyFo/0Ay6XpiEsitwrAHDKMQINOpZ1wkFsyeq6l9LlGQRqUy&#10;ibaso1x2S0tLcjx5m88gtsYUVjf8IErwVj7T5NRYEbOz7cdH5Xazxq/UVmQQ1SMmh+gPX+UySIPX&#10;itLUMLvEbaMj0h3Lh9Q9iFadDIcoax9x+EvRDWts7u2p83/u2LD0m1fKBbZEFVMi2EEPZrIi6qPG&#10;TT6fqTNXUT/YMzPD+ocxcE1Wg4uYJt+ZnJRCAD872MmGATWwJMD52zFgMZOPkA6h86DRrZRm/KiX&#10;GQZFy8z5RyMjMB8wObFIc/7SJfnwWJ7gwlDqpSqA84/DjcXiN5SYssX1TCYp+0QpxAEW+DTO+myY&#10;mrxOfNYafnU5LpWowaWqN3a4XSWO6Co0njeWXcIIPZI4+Kgc3oihQOs2CE3GFTbOnl4cPjo4IPMD&#10;/nAkZOebbMWwzLuwIFYLAWeuXr+HMnScm2dhd03VurHZc+fYMJRonKSqoB/zXrJQNAPuDlHeALGz&#10;4VFjMJl7YZVex5ND4fll1hpnLezkSm1mFDQSqxLqdc0qLDijBH5ItMicP6XUxtHgAoB5Ffawei6A&#10;20ozOKbErMBvszePwn4wPSXzADh/k0pEL7hhY15LFl0N8CCzr0GpRONh6vFpYXcYqsB+1MJSYLml&#10;V6TzrugX/zIy4v5J1LEth/ukMjeXRhAxe5pZWVEpB5esEikcOsJeMXmOA93vYWMAMxkss+wRY9jR&#10;5eVq3xgXGENfH/yi6tUVwoC5IJNQrqkePT6y0ixLk3Uq+knR3nng21xGa0hvl5IVwk5TZEUxcfE/&#10;ONUoiG7LXrk9Cp1CKbECXqNQ2egqXike+kXMnfUsCyUk/vZW5tPFLdYHdPIMCFHZOpGLBL1KSKk4&#10;KN3kaaTilXgpKkrz4GrH+QE+PfkJxiR2BnMrPOpUm1M4yj14YnIq3msB7JeGLeukRsfZrrJtPHTd&#10;azRFG/Aj9QjZw28qmJSPlQblpKP39ELopANfk3qc7JC04fHjwGJtIq4B5btrmLAeihGderR0wWaW&#10;AndP1Sbin56add+ZmHAvqlnRCZ+j15SiYXxQPWJyYDebyyQNYpqm8czwcNUd81wNGt6PmKiox00G&#10;LvG02KM2zbBSaPpp/IbZleeYWGAu0bSo9c6BuuNTghr3Hg1Xeq8ybp8sGqNMVQ2gbA/QY+OUGli+&#10;4fz9iEPESgQ7oAPnEkqLdBeeK1VQw2KZtI5KjHBA8YJLIE3OqJVBfa7fJNSvNTj/UOrV/zCwkVMk&#10;VLo1/LR5cbxeg/O3IVZJlUg8GrHApvHZqVOsP/hRuSzDlBZr9kHiUInFg4uQJvWaMjUQwfH0hQsy&#10;nO3CvC/9WuesS/Xg3JwUAAjSbaL1NUhp3ZZKPC+4gGmRDgmxG8CF0dx2fFSGW7HUsAljm+NsUiJW&#10;AD0hLmAa/Bs5R2azhXJaCAn8K6YaH0clZgXCYcwMoLlfDM7Nk3dBPCGoT2L9Rx2SAv4+Pl6Xtskb&#10;yZiYs3gQl0rMCrgAIFXCigI0QAtkg2v7aMXUTRgPq7EyPfeaBrE7KQXFjjQXALyOvGkcazSPOprE&#10;cUYKnC3E6VIubZO0YVoQrfGkEBj2Lf5dnqnauNCElgx227UNKBtKYSE15wlSYTl/k79VViAAlE6U&#10;od4mMjGIAhgGuc1iZiSFDRrwxxUWW5Kcfxjxcv7Yf9T9q2iR/zk5Kc+hot7Ts6hg5/ycWz5X26MF&#10;TE10kxVhGQ/NuMLaaJ+mQbycSXWe4JwoYS5MlYXCFU0tLPhT0ohy/lU6ziNNLyxKV4M7rFpjoaPp&#10;hYWuhgbnr4m9paYWlgJ6G1wYTbnWzHlo5llY2i/vnOCNv1E2tbDgE6WSzA/g/Cmb/jOGgqYG5+9l&#10;kzdQUCDT4Pw9bOauh7bCr584zobxUA4qMhguZi3s5u7aghz2h7gwJuVwMYuJQCNKFmZTgKOLXgNB&#10;fpTC2k7xOH+TjRQWhpeBi5Z5SWEBzhPMs7A4wwPYCFudvAPCgV2Wyauw0DGuGB1y3U/KZTYMpRKz&#10;Ar+DwXkU9g5y9hYrGlwYk0rMGrhAeRSWDhNfs+lyOEMAWD03A+b1M35iqDJMxM4B50+pxKuHGTCv&#10;wupj5GHLP56GyYTw9GiWxhUWCiBRN5GjEGcNAJwV4Pw1lVj+oIGjCnunEtYE7E7sm5113xg74T41&#10;NCRVB3CPgNVJK4OviHqq8aIyvc4xdMsSoJvRVNi8wc+msqTtZjRA1QziAGa9EBfrQ3eI0sZtCG+J&#10;Uj24MM8ehYmKlwJKFFRi2EMrYOKBqT0rG5qZhxHdCbYnQS49ELa4uLgmryoWv6NEiAYusVwTc9Yk&#10;YBPNI53CTvXI8ZGlOl9qTENQCjaTHDBw4JAEIuHA8/GNZ/G76tGyQVbK1VHYEOVqCpHh+lebp7hs&#10;DkRQXBZHXTis+0NMQVjXx9OyBmZlbcUD14gXtiPpFxTISto7kJeVPbgW7IDJC6quaPfm6176GlM+&#10;kzwhm/GYptlR6bicrQ3rsTMgnh0yNM0Z7iyAnTTURvFCVs0XtI4oZCs85TFVtB4B5W3xVe9hXkBu&#10;Cc256wXxF+twXBhbQvY1MUSdBWD9RAgV6QKjteQtPd1ux8my3O71A1aBob4BnXMuDSs6hZ1NWZPl&#10;qDXjI4tpErroRxYXVdHZAWe2Xz1us1kayFUxeb1Bvbb8AoMH5uFzzYcG+qUJMgrYSoOOIG1+cXwb&#10;24ZmXbYx9GhFMcqObUw9C8jFc9G0sA+bc6JQzhuF+nG5HHiW6D1y6gzAve9J+19KMZXal7oBr6jA&#10;/hH3cM3Al0crR/0osEfOhaWEsQUKWPzH3jsXNgkxa1CvuXGQ64bMwzQLnx85JvtIiu2ioLmwJh8b&#10;HFQxKsDxyN8fOcyGTYNXOc616rVnBzXK7TUzbya+SrRONGxqquZL6iISDVgoiHIQMBadQimz5lmt&#10;z/IZNwlxbp4izsj2w+lpFbuC/lRurrAjykAVRzpo1sER5XvkThUADfErx+2aX02MjLXSusbLEdNI&#10;zLTURTLbfGwQ0UyWjMLAdcOPlwbZ8EGEuhrtmaHOZnM0OW2iTGJPjeR6bg53VqLwOTFIwqlhigkx&#10;PcHZGC58EFFbS8bNK7h3I/jcanZE2URevWr2Qr21p0feZm1ib8gcNYgYNdPaCkMCYcbes2akwq1Y&#10;5F0bLZ+khBLrJ8TIiQbWd+9KMNeEEuycoSkM4wpc2EYTZWWlkSE65/1cAnnnW+PjdYv3OB6RdD0X&#10;HwuuhqdAa4ArC7nwa0JRZqr4eLQXC/ezEUOI5g1q3eiHsiK2zsx84faPiXF5joYC05hdkxOxTleY&#10;fHPMO0XCwAvry1zYtWXhflWMXoTdmOZHbUiuEcA5u3uPHpGnKbm7+bDui6sibc8OhPEFcqQcwAeD&#10;BQoubC6Ik94mRFvdxQYOII746Ate1hJl7MaIqUiai/GPDA7I2kmBDYA0jY2lTZShKs4K5PUFTMAw&#10;cgVre4OPDbG47ne8CbXnffGibS5UjsotfX3SCFtWQMeBs6BY7MBNurAnyj1HHHruS49TW0GuYBOb&#10;uyTE8UxasHghMAtoa8k5CWEi7MOZaWlR2twwyApjZ5fde0Is/4SxWmuhVccFsGGjCxaDpEbcqxeV&#10;6ALQRIcRixnXigEdzKQ+LJr6T06W3TPKeCYFrpJN0q1ITUmoZnCeNmwVbDrcWhp0V43+/G0LQ6O+&#10;hLpNm1PYzXpasFWw6fFjdc+5Bm6zj71ciY0CUbD7WE8Ltgo2Hd4uxgzYUKCAig4X1oYo00RHQVsF&#10;G59QX4W54yll4pQCV/Xg3XLxbIgyTXSouVWw8YiVtGHmjn7YsU1rY6FVY9eImLINL3n3iWG1PZEi&#10;uqKssa0+du2IaQ/slVPsiKB/5UfVx7ZGxWtFNMnajLiGjcXeUGJU3JrHNp4oUFy7sHShcjmNBta8&#10;g+54sSbmsa2Vp8YRG/aHjfelAaNucW6151g9o9ssa8XNXrDYtMdFJSbS6Fc1PTs8ae7utAo2nE8O&#10;laR2hwbWi3EbHBc2Kj27O0CcWtsq2Hi8qfuQ1JakCLKFaUtPbdWIo0HRKtjoxOCoOF+7EA/AciIG&#10;VFz4SOQ0KAAx9XmQjeDDVsHaEYv5ODOE5zeBs7j39SdfbULZqWLkEaVJbhWsHWEf3VzkB7alpD/F&#10;NsEmoiiLtwrWnlDhMc/9QCEvqSYlyspeadyycFsFG41Qt4GmpcZ5MTKG1iUX1oaRClUDk1xRxQMN&#10;ajW6YDFFgFV2Lmwz8G5RiHSasyJ+Q0YubBhRNtWFiKjA0YF2x99eYaMLFoC2P756aON3zc+7Oycn&#10;3CdEYd915LB7c2+P3B1JUw01LT48MOAuG/pNztxcPC0JUSapGNrEojKXAVew/5s7JS8LhjmAJHzm&#10;2LDU++GUvaIA41DUEugIIy3c64tzOBiNzqycdadWVuRHcmhhXl5h+9nsrPvu1JS8unrX5KS8lhqn&#10;9rhn5IiwWAfG9bqHxIeHQROnygpty1j9axrnYym4E+2oHWbBZgm8IFyh/XipJF8c8h49c0beLrsk&#10;Cu2CqM2NURSNByis9YhnDrv91o+Z2aOQNiiMpvnmnm55pe/g0pIc9Q2Jv2kT6faKEeTTohZHaWZR&#10;I3DwGbeJQQkc1xD/eXhY3n7yhugyYLdpz8y0rD24ghg1rJuwR7DEPE8Q8awDi4syPhYiPpiedh8r&#10;Dbo3Jti1wcZ55EFSHODL4R6gxfQpCnWTeu2Ng8i06SyxNQ3X2lh+M1tmyyPF3HTtLbNRVAyRtGpw&#10;Au6IbTCkUVDqNuvZyHRaFO+ouEW9tuYBRnKtZrqeornd/eNi8SvqNTU3mtHCeJqE7OvGwrgf5CZD&#10;606A9Q+54dC6xePyQOvencsMrZuybLBhw/8Ba1WIacHEI7EAAAAASUVORK5CYIJQSwMEFAAAAAgA&#10;h07iQCx7bIhnEQAAYhEAABQAAABkcnMvbWVkaWEvaW1hZ2UxLnBuZwFiEZ3uiVBORw0KGgoAAAAN&#10;SUhEUgAAAHYAAAB3CAYAAAGh/IQiAAAAAXNSR0IArs4c6QAAAARnQU1BAACxjwv8YQUAAAAJcEhZ&#10;cwAAFxEAABcRAcom8z8AABD3SURBVHhe7V1JdBTXFWWRRRZZZJFFlllkkUUWWWSRRc7JJgufBIGd&#10;2ImdeEwcB9s49rETGyc49gmxiVsC2Rgb2xiDB8AG29AtCcQohJgnCcQshAABEpJAAiEEkuDn3de/&#10;WtXVr6pr6lYPdc+5qKn60/uv/q8/vP9qkh1+8WrDtysqEx0VsXiDvpQdUyoTyp7xLh0sE3KETOrg&#10;45ACOVFHG4+482SXWrjpsLo1OqaA38yt5esArr29tlmt2HVS3TOnJj3yU4s2p6XsxDdW7eG/wSJD&#10;HfjhLzLpET/yX+xQIks08OySLRn3OKIB601nxkd1tHHIATOpg2eCan+BFAHUQbKDElmIVvTrypof&#10;60vOoAgPSjka1MEyIQWWeN/8Fd/RUZKQAjlRR0sCFwA0ub3t3fx7dOw2B7w8OMz/bzx6Xr22cif/&#10;TiVgpLa25UwqZYNGQDPFp8tr5IpYYtB3ZHDCIlcHqzDAGgBc0niEIwPSfR110qSpsdqfSAHsqKON&#10;g57rWVJAK3VwGVKEJIUOwA0o8szMxGwYS7TpaP4gJuqDOrnskCKHQZ18JkjJd5kDvvD5VvVOfYua&#10;v65FPfvJFnV3VU1aQk7868KNqnrNAY7/2le70u7p7JKoqIxPN27gfSU1EDMxKrh245a6o5/7B+at&#10;FcMZfOGzrenN2IA5kJuMDQLSdSuRqTnjqdWrvkuZxivNgfKRMYiMh80X8pdxbPUvzRfylvFE6Jgz&#10;NWBcvK+6lhN0wgcbD3FYgOO8VadazvTw/+3w9McNHJZa0Gs6y3EYmbslmol03Y5TZ6/6gc4qE9SR&#10;rJQiBaVO3h2kBLyQhHhOJ+UfmNNJiZs5uSpxtw4ePpA4ScITkSmxeCu9BmfoW+HCKpUTfxWr/b6O&#10;5g9Som6pk3APDP6lhLwSk0mdpDNonLtcSiAIddIy8KhLkcKgziITUuCwiBrU2YzDHOD+t9eoqpp9&#10;PDyZ9fVu9ch769IScCJGHK98uYPjgo8tWJ+6p7NKAh2zcQPA4sbSbcfVPJptfbPnlOq9doOvG6g7&#10;0JFK6HV6q5hxru+aWrb9uHozsZfjn+m9yteN8DrLdCnNAexYXXeAwwHxfafEMGYCxm+dpfdMQWRc&#10;mdgn3rPSnCbVamfGw2MO4ETOlPQu3bPSmmaUaVZGmUq0pllemVabL1gD2DFQpoF6JB+ZplYHrQGc&#10;0N1/Xf1xfn1apq9/s1vduWPMbGUY6XOGBoyL2fjwu+vU2O3bOqkk6mlONNXdzH6mzi4JLMcJgRyJ&#10;AkjX7aizSocUMCzqLGRIEYKSZgjf0snbQ4rolzpJd7AuG/ihTso7pMSysWJO/Ic6ejDQmNh2/4AZ&#10;dD0xCHirMFsBs5EEyOnU0y8CC+aa8dHQHhcvCKNRBSWmfLo44WNyLPF3KdNCoC5icFBin1kTL1S6&#10;eslICGvtI/+MD2sR3MHPYKbQ6Lgma0CK+OSizWpkLH1YmA03bo2qja3n1H++3qV+//aajDQlYpj5&#10;zOIGXgQ5f3lQ3c4y1rWiqmZ/eppOi5lpATUfeW89J3SgoyfjnhOxXPSPz5vYLAWCm9F6rpfDzK9v&#10;Thu8j4yO8dj6pWVNHN+aphP/F9/Laby4dFv6PUngtAAmYsMDcLvp4Yar97Zzmu3dA562A504Y/k2&#10;TtO6gwPSAOVHWkwWNG0yaWYuhMXUDHA7J3RDCAlIwoJaVHutgqUiLLE6Y4PQyhISdtwmzI4lJWy2&#10;cW5paVabCtqx1DSbZsZgZUkJWy69MZvXlYuwbI1jQAoAloKwvF1mBmb+1kCgIey+9m71edMxtf3E&#10;BdXZN6j6rg2rgaGbzO6BIdXRc5XD1B04rT7c1MrjYjsjLDfC3ltdx2l8uvUY26BiVxRj7OGRMTV2&#10;+w7/Rd4nL15Ra5o7VHxfcgj6xupMYbWI6aAb4rBxNiXQfKZXzatv4YnBPXNq1VTTffyGtdlv59ay&#10;ecxHmw+rXW1dbH1mBa4t3XaMf8cS+9R/v9mtrt8c4f+bcXNkVB3u7FMLqeKQp90YGmX55xfb1daj&#10;53nSYb2vRZNBGk6z4wubLy5tIq2Mz4KOkECYQkphg1KLlB1S5GKhaK6QDZgLSokVMnXR/YMe7ZxY&#10;loXJDBP9oJjy5uqfShlNFDNeKbkCadvxNEXu6HBwKl+ggrg3bvfCWKItsAFevoCNLm3CuJDYMD7L&#10;infBnBHX0BG6PqBTyIAQ2DpJChVvZSFJWONQICoBlYFK0VGKB1Mqa+7Fo5f2KHokVcCCghUebYq0&#10;dkwqeFCKJt4TAeyXZlvWCZGLdbb5h9H28s/V9+si5B7UnnJm9+ueHnfq/CBoxxM6aUSnixYuxMwK&#10;gNSBzdZFDA7sZkuZFBKpaa3UxQ0GKfFCZGCBpUQLmb7fycVqaoBDxFoEd6BIi62JFBO1GNkBwwsp&#10;gWJiavU/G6TIBh//cCMbhODEsHE8Bmc8Zn65Qz1B99waingh3Ic8umC9ev6zRjagNuf9JuX9tyUN&#10;vIRrjUcd1l1aJBl2C2w7TlzUC5/uAIPrM73X1IcbWz0tk/7hnbW8or+d8jMvt7pBz9WhjPS0WDKs&#10;gUEseBuAuU5if7tasOEgnz+CxwicR4IJ0ImLV3jF3s6cp6v/unp5+faM9PE0bD7cqW5bLNIBXBsc&#10;vqVazvaqmv2n+YAs8v33ih1qbt1+/n/jsfO8oA7AqYw5bdve2U6rA0PJVX0vjyjsmR57fz3bJbWe&#10;60udSQdGx8bULHoc8ehhy8SMs/R/CPPnDzak7Ti4ISoG2yLW61q8dFgDGTS2JqR7XvjEwk1q2/EL&#10;nJYZlwaG1CsrdopxvBC+SFCp1uuk3elaxCRgJ2QNZDAsYQ2iwzEAFwdSGD9EPyEJC2oxkyDpO6VA&#10;YNjCgka7lu75JdJ0JawUwGApCEusZkGxIy3cTLFEhE1ql37YmvKBJSVstgF/qWlWvGmwVISF2WL5&#10;CFsZrywbYWli0FA+wsIphXTDzBJ6jIcjYc2MHuOAnBBhy6mDKqtXDw8qym24WD4TgbKa4gHSTYMl&#10;Imxy8g6U1bKM08HgkhMWkAKBhrAwdcdxT1h3dw0MpUzmr1xPms3DSBom9V/sOMHHOx/H2q+N9bcb&#10;Yf/0/gZVVbtfrTt4RrVfGuC8YCqPI6j4O3RrVF26ekPtOnmRF/LtVhdpMJHpCACr59aAYEfPABfM&#10;L3DIeMvRTrb3N9KUhJ320SauqMHhZOX6AfIypwlq8TJhDQjCNh+L23XNHXwQl88H0DVjxR5/QWMD&#10;Cjb/2CKBNnD414pVe08ltUAC49BDI1WEFagK7N3Uk1bhY87wjW8lyoY8F5FmD53tZU9CljDjHZMV&#10;dDN0y1JUzoxl29SpbucnpG9wmB3vYXNLSscPtVj2kCKFRQiOdm8AGn5/4yE+OSKFD8KsW5ZAPjaj&#10;oT14h5buhUHXm9EARSgPMwMDmNlLCRU6K+bEf6ZF8AYpscImzVmDQE60ABmLr9JF9o9iMOcLRVAz&#10;xEwKg/YDhyDIdj4+35xclfi5LlpugIG1lHF+mQfjajMow9I3mzejbA5EmFEWR10klPwhJieU9PG0&#10;XAOzMqqgR2lmszynp1EobeSBvFz5g4vgDpi8UKUuoMrtFyt+Aoky6daX2zFNsYNfXLzjVJwz6CS5&#10;7NVFc4Y7F8BOGlojVcZoZgWVCkm2WOKdNFdFpQgYb9MgYoNcCaVPyD4hjqhzAXg/4UGOIGhZMxZf&#10;VZQtWY9ai947cu7Jr6JputoKF1RIR5ObiPbEKBvr1boqJx68eE5di1TYiD4YizeF7sDLK6grcXSv&#10;GtE/MWvQ1Zw/8LqhUJiI4XNqVeJxXe25A7qI5BqoXIiIOWIs0Zaz7hkjXTHTiHkjdKDVEQ6iwVEB&#10;MTRzEQ+bjzCVhCvlVXva1MEzPerilUF1degme6yAkwbYn0qECecwhRm6OcLGtT0DQ6q9u181Uxpw&#10;yxzfe4rdOL+6ciebYsJU06szhzCIPO+trmX/KnAXsnjLEfbNDWNjfJsGzifgU/vqjVtsrAyPGTBS&#10;lGSGaSq+Unzj1ojqvz6szvVeY88acF0CGaX8UySd+J4aJddz3e2s4FvNBzouaXvL/AKVA/tc5P/V&#10;rpP87WhUjMsPaKYRDyYc5sCKu5YUduhsDyvK65eYJECZKOut0aTVdzZA2S8vt3xsyEToxvPqlRel&#10;ogKPX7isi6PYhB0fG4Lj9Qfn17OZrRRPIloE3K7gq0sPv1uvnly0iT0QwWcNPNvDZH7/6UvqLD3d&#10;cNyO1uAEON/Zc6pLzSVFPUTpWfODKT884aP8TsqDIuDTBr504EF/bXOH+rTxKDuMh+000oEh931v&#10;1fl+oB6Yt0Y998kWNvs3gB4MbmqkOKAn5WJ3n+anrq18nvp4c+qMBAAX/lK4XBKVicpdsP6gajzS&#10;qS7QKwCuZaxAa/ly50lV39IhOiXCK+MYKXkltfyXSGGSW6lc8/lPG1NlxwNl94GLcca7oDOtPnvQ&#10;0HqnnIBMfC/CrNgwP5IRlGgJOGOyu+2i+EFltFK8I/9C3a8UfyLoXbFE0plWnwwaTs8SIzqwkBVr&#10;JrxumVvpWyH6YgqTUCTex4BrxRKhO63GdGT7Ypodi0WxOEpnVBgQ5qdywqRfxTJx0tuKisp4sxg4&#10;CyPFhssgioUOtTqTgEmkFNANI8WGy0AtlghdarX6b61gpNhwGVSxqVarLQTFQG4YKTZcBlUsyJaS&#10;9GOa9YYXRooNl2EoljgNiq2xXPTESLHhMhTFYqOA/mkSb7pkpNhwGZJimwIfBY0UGy7DUCx0iq5Y&#10;vOmWkWLDZSgtlhi12AJjeC02escWFENpsXjH0o9oVFxADEmxNCqO5rEFxVAUi3lstPJUWAxDsakz&#10;utFaceEwqGLTdnii3Z3CYVDFpu3uAH5bbaTYcBlEsWmt1UBkQVEYDNRiJQsKgDQ+W4zgwEix4dKv&#10;YqE7rUYZXrtkq2JhaG3cMyznYScMG2PY9sKK/pnFW4gNKcKEFUbnD727ju1zER42ujD/DMviP5eK&#10;hfkrHE7Day/chk8neWBv/K8vtquZxNmr96jXSUHG/19a2sRyw2b4gXlrOa4hJ8J5VazYBVvhxVgc&#10;tCoWRtzZDLn9AOajOAqCvC4NXFdHz1/m4x+fNB7lj5riYZDKZzCIYh+mB25O7X6V2NfOBuM4unJ9&#10;OLvBulegdEjTMJXFX3y7VCqTQU9G416VC0t9nL0xA0WDJf7AUNKCHtb2u9u6+JwLPsm7sfUsfykW&#10;ysE1uG7f1XZRHensVae6+/loBeLCMb5k/O0EnBeCA/9l245zy0AZoZg0xSbGFQvn309TK4PjfZQF&#10;5cVxDLe4OTLGZe3su6aaOy6lZINxOs73LKGHD8RvfIUXbuc3HDrLpxrgox/nlZCGFZsOn2PbaKOc&#10;VnpSqoHkwoU3h1o4zoGuV7oXFpEHujz0FDingwproAo43XOVHwIJyYdsjP8CUDBa3tHzfY6tDuH6&#10;qdIRbm1LBx8HwQdw0d3+Dsc5hPIFJR4yc9dsz/hwaiHCK/i4Ry79FeaIeD/jZF4j9Qb4BEc2QIHo&#10;XvF1CrTkh+g9nwulhUbSiatjHdmARWUxgyIivqfS1tXPXR66WZzvwdHMbO/mgmMY52PNiE60Tzxz&#10;5o8i6YOi+LrmYic2zj0PkvwAT45UgIjhk+ao03W15w+UceSJLXecWGf58IVQCoOrgmEheGYzgxUc&#10;tWDfrIgllqMOdXUWJqig02gCXcJOpsMiO6ueoauteICRXNRNi6yZXJX4nq6m4gYJEnkYLxUP43ZI&#10;bjJE3wQoeWhLyegrHuWA6Ls7ZYboS1luMGnS/wHK2Cd+JDVAbQ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DQ39l41AAAADED&#10;AAAZAAAAZHJzL19yZWxzL2Uyb0RvYy54bWwucmVsc73SwUoDMRAG4LvgO4S5u9ndtiKl2V5E6FXq&#10;AwzJbDa4mYQkin17AyJYKOttj5lh/v875HD88rP4pJRdYAVd04Ig1sE4tgrezi8PTyByQTY4ByYF&#10;F8pwHO7vDq80Y6lHeXIxi5rCWcFUStxLmfVEHnMTInHdjCF5LPWZrIyo39GS7Nv2Uaa/GTBcZYqT&#10;UZBOZgfifIm1+f/sMI5O03PQH5643KiQztfuGojJUlHgyTj8Ge6ayBbkbcN2HcN2ybBZx7BZMvTr&#10;GPolQ7eOofs1yKuPPnwD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9HQAAFtDb250ZW50X1R5cGVzXS54bWxQSwECFAAKAAAA&#10;AACHTuJAAAAAAAAAAAAAAAAABgAAAAAAAAAAABAAAACjcgAAX3JlbHMvUEsBAhQAFAAAAAgAh07i&#10;QIoUZjzRAAAAlAEAAAsAAAAAAAAAAQAgAAAAx3IAAF9yZWxzLy5yZWxzUEsBAhQACgAAAAAAh07i&#10;QAAAAAAAAAAAAAAAAAQAAAAAAAAAAAAQAAAAAAAAAGRycy9QSwECFAAKAAAAAACHTuJAAAAAAAAA&#10;AAAAAAAACgAAAAAAAAAAABAAAADBcwAAZHJzL19yZWxzL1BLAQIUABQAAAAIAIdO4kDQ39l41AAA&#10;ADEDAAAZAAAAAAAAAAEAIAAAAOlzAABkcnMvX3JlbHMvZTJvRG9jLnhtbC5yZWxzUEsBAhQAFAAA&#10;AAgAh07iQNIzP2TZAAAACAEAAA8AAAAAAAAAAQAgAAAAIgAAAGRycy9kb3ducmV2LnhtbFBLAQIU&#10;ABQAAAAIAIdO4kD2KqFjKggAAKU2AAAOAAAAAAAAAAEAIAAAACgBAABkcnMvZTJvRG9jLnhtbFBL&#10;AQIUAAoAAAAAAIdO4kAAAAAAAAAAAAAAAAAKAAAAAAAAAAAAEAAAAH4JAABkcnMvbWVkaWEvUEsB&#10;AhQAFAAAAAgAh07iQCx7bIhnEQAAYhEAABQAAAAAAAAAAQAgAAAACmEAAGRycy9tZWRpYS9pbWFn&#10;ZTEucG5nUEsBAhQAFAAAAAgAh07iQP8FtCQpEwAAJBMAABQAAAAAAAAAAQAgAAAAr00AAGRycy9t&#10;ZWRpYS9pbWFnZTIucG5nUEsBAhQAFAAAAAgAh07iQKkm0DQXGAAAEhgAABQAAAAAAAAAAQAgAAAA&#10;ZjUAAGRycy9tZWRpYS9pbWFnZTMucG5nUEsBAhQAFAAAAAgAh07iQD7CHaS9EwAAuBMAABQAAAAA&#10;AAAAAQAgAAAAdyEAAGRycy9tZWRpYS9pbWFnZTQucG5nUEsBAhQAFAAAAAgAh07iQEHv6FOfFwAA&#10;mhcAABQAAAAAAAAAAQAgAAAApgkAAGRycy9tZWRpYS9pbWFnZTUucG5nUEsFBgAAAAAOAA4AWgMA&#10;ACl2AAAAAA==&#10;">
                <o:lock v:ext="edit" aspectratio="f"/>
                <v:group id="_x0000_s1026" o:spid="_x0000_s1026" o:spt="203" style="position:absolute;left:0;top:0;height:3129984;width:7829023;" coordsize="7829023,3129984" o:gfxdata="UEsDBAoAAAAAAIdO4kAAAAAAAAAAAAAAAAAEAAAAZHJzL1BLAwQUAAAACACHTuJAAs6le7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dA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zqV7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2956635;width:7829017;" coordsize="7829017,2956635" o:gfxdata="UEsDBAoAAAAAAIdO4kAAAAAAAAAAAAAAAAAEAAAAZHJzL1BLAwQUAAAACACHTuJAc1ExCbsAAADc&#10;AAAADwAAAGRycy9kb3ducmV2LnhtbEVPy4rCMBTdD/gP4Q64G9PqKNJpFBEVFyL4gGF2l+b2gc1N&#10;aWKrfz9ZCC4P550uH6YWHbWusqwgHkUgiDOrKy4UXC/brzkI55E11pZJwZMcLBeDjxQTbXs+UXf2&#10;hQgh7BJUUHrfJFK6rCSDbmQb4sDltjXoA2wLqVvsQ7ip5TiKZtJgxaGhxIbWJWW3890o2PXYrybx&#10;pjvc8vXz7zI9/h5iUmr4GUc/IDw9/Fv8cu+1gu95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NRMQm7AAAA3AAAAA8AAAAAAAAAAQAgAAAAIgAAAGRycy9kb3ducmV2LnhtbFBL&#10;AQIUABQAAAAIAIdO4kAzLwWeOwAAADkAAAAVAAAAAAAAAAEAIAAAAAoBAABkcnMvZ3JvdXBzaGFw&#10;ZXhtbC54bWxQSwUGAAAAAAYABgBgAQAAxwMAAAAA&#10;">
                    <o:lock v:ext="edit" aspectratio="f"/>
                    <v:line id="_x0000_s1026" o:spid="_x0000_s1026" o:spt="20" style="position:absolute;left:149443;top:0;height:21464;width:7679574;" filled="f" stroked="t" coordsize="21600,21600" o:gfxdata="UEsDBAoAAAAAAIdO4kAAAAAAAAAAAAAAAAAEAAAAZHJzL1BLAwQUAAAACACHTuJA8IHMtr8AAADc&#10;AAAADwAAAGRycy9kb3ducmV2LnhtbEWPQWvCQBSE74L/YXlCL6VuYsXa6OpBkHpQRFt6fmSfSTD7&#10;NuyuJvXXu0LB4zAz3zDzZWdqcSXnK8sK0mECgji3uuJCwc/3+m0KwgdkjbVlUvBHHpaLfm+OmbYt&#10;H+h6DIWIEPYZKihDaDIpfV6SQT+0DXH0TtYZDFG6QmqHbYSbWo6SZCINVhwXSmxoVVJ+Pl6Mgl9X&#10;mFs7+ujaG72Pd197+5puN0q9DNJkBiJQF57h//ZGKxhPP+FxJh4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BzLa/&#10;AAAA3AAAAA8AAAAAAAAAAQAgAAAAIgAAAGRycy9kb3ducmV2LnhtbFBLAQIUABQAAAAIAIdO4kAz&#10;LwWeOwAAADkAAAAQAAAAAAAAAAEAIAAAAA4BAABkcnMvc2hhcGV4bWwueG1sUEsFBgAAAAAGAAYA&#10;WwEAALgDAAAAAA==&#10;">
                      <v:fill on="f" focussize="0,0"/>
                      <v:stroke weight="6pt" color="#44546A [3215]" miterlimit="8" joinstyle="miter"/>
                      <v:imagedata o:title=""/>
                      <o:lock v:ext="edit" aspectratio="f"/>
                    </v:line>
                    <v:group id="_x0000_s1026" o:spid="_x0000_s1026" o:spt="203" style="position:absolute;left:0;top:42459;height:2914175;width:1622738;" coordorigin="0,42459" coordsize="1622738,2914175" o:gfxdata="UEsDBAoAAAAAAIdO4kAAAAAAAAAAAAAAAAAEAAAAZHJzL1BLAwQUAAAACACHTuJACP6r0r0AAADc&#10;AAAADwAAAGRycy9kb3ducmV2LnhtbEVPy2rCQBTdF/oPwy10ZybRWtrUUURUXIjQpFC6u2SuSTBz&#10;J2Smefx9ZyF0eTjv1WY0jeipc7VlBUkUgyAurK65VPCVH2ZvIJxH1thYJgUTOdisHx9WmGo78Cf1&#10;mS9FCGGXooLK+zaV0hUVGXSRbYkDd7WdQR9gV0rd4RDCTSPncfwqDdYcGipsaVdRcct+jYLjgMN2&#10;kez78+26m37y5eX7nJBSz09J/AHC0+j/xXf3SSt4eQ/z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P6r0r0AAADcAAAADwAAAAAAAAABACAAAAAiAAAAZHJzL2Rvd25yZXYueG1s&#10;UEsBAhQAFAAAAAgAh07iQDMvBZ47AAAAOQAAABUAAAAAAAAAAQAgAAAADAEAAGRycy9ncm91cHNo&#10;YXBleG1sLnhtbFBLBQYAAAAABgAGAGABAADJAwAAAAA=&#10;">
                      <o:lock v:ext="edit" aspectratio="f"/>
                      <v:line id="_x0000_s1026" o:spid="_x0000_s1026" o:spt="20" style="position:absolute;left:811369;top:42459;height:1412309;width:0;" filled="f" stroked="t" coordsize="21600,21600" o:gfxdata="UEsDBAoAAAAAAIdO4kAAAAAAAAAAAAAAAAAEAAAAZHJzL1BLAwQUAAAACACHTuJAXPM9r78AAADc&#10;AAAADwAAAGRycy9kb3ducmV2LnhtbEWPzWrDMBCE74G+g9hCb4ls04bUjZJDwZBSerCdS25ba2ub&#10;WitjKf55+6oQyHGY+WaY/XE2nRhpcK1lBfEmAkFcWd1yreBcZusdCOeRNXaWScFCDo6Hh9UeU20n&#10;zmksfC1CCbsUFTTe96mUrmrIoNvYnjh4P3Yw6IMcaqkHnEK56WQSRVtpsOWw0GBP7w1Vv8XVKHgu&#10;k/KCL/WnzselPG+/Lkn2/aHU02McvYHwNPt7+EafdOBeY/g/E46AP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zPa+/&#10;AAAA3AAAAA8AAAAAAAAAAQAgAAAAIgAAAGRycy9kb3ducmV2LnhtbFBLAQIUABQAAAAIAIdO4kAz&#10;LwWeOwAAADkAAAAQAAAAAAAAAAEAIAAAAA4BAABkcnMvc2hhcGV4bWwueG1sUEsFBgAAAAAGAAYA&#10;WwEAALgDAAAAAA==&#10;">
                        <v:fill on="f" focussize="0,0"/>
                        <v:stroke weight="4.5pt" color="#44546A [3215]" miterlimit="8" joinstyle="miter"/>
                        <v:imagedata o:title=""/>
                        <o:lock v:ext="edit" aspectratio="f"/>
                      </v:line>
                      <v:roundrect id="_x0000_s1026" o:spid="_x0000_s1026" o:spt="2" style="position:absolute;left:0;top:2235417;height:721217;width:1622738;v-text-anchor:middle;" fillcolor="#4E8BB2" filled="t" stroked="f" coordsize="21600,21600" arcsize="0.166666666666667" o:gfxdata="UEsDBAoAAAAAAIdO4kAAAAAAAAAAAAAAAAAEAAAAZHJzL1BLAwQUAAAACACHTuJAlfKQXbwAAADc&#10;AAAADwAAAGRycy9kb3ducmV2LnhtbEWPzYoCMRCE7wu+Q2jBi6yZcVVmR6OHAZc9eHH0AZpJzw9O&#10;OmES/95+Iwh7LKrqK2qze5he3GjwnWUF6SwBQVxZ3XGj4Hzaf2YgfEDW2FsmBU/ysNuOPjaYa3vn&#10;I93K0IgIYZ+jgjYEl0vpq5YM+pl1xNGr7WAwRDk0Ug94j3DTy3mSrKTBjuNCi46KlqpLeTUKMvdz&#10;cFjWcinNNXW1KaYlFUpNxmmyBhHoEf7D7/avVrD4/oLXmXgE5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ykF28AAAA&#10;3A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oundrect>
                    </v:group>
                    <v:group id="_x0000_s1026" o:spid="_x0000_s1026" o:spt="203" style="position:absolute;left:1661375;top:47222;height:1877071;width:1622738;" coordorigin="1661375,47222" coordsize="1622738,1877071" o:gfxdata="UEsDBAoAAAAAAIdO4kAAAAAAAAAAAAAAAAAEAAAAZHJzL1BLAwQUAAAACACHTuJAd8Wt0b8AAADc&#10;AAAADwAAAGRycy9kb3ducmV2LnhtbEWPT4vCMBTE7wt+h/CEva1p1RWtRhFR8SCCf0C8PZpnW2xe&#10;SpNt9dubhYU9DjPzG2a2eJpSNFS7wrKCuBeBIE6tLjhTcDlvvsYgnEfWWFomBS9ysJh3PmaYaNvy&#10;kZqTz0SAsEtQQe59lUjp0pwMup6tiIN3t7VBH2SdSV1jG+CmlP0oGkmDBYeFHCta5ZQ+Tj9GwbbF&#10;djmI183+cV+9bufvw3Ufk1Kf3TiagvD09P/hv/ZOKxhOhv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3xa3R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2472742;top:47222;height:463639;width:0;" filled="f" stroked="t" coordsize="21600,21600" o:gfxdata="UEsDBAoAAAAAAIdO4kAAAAAAAAAAAAAAAAAEAAAAZHJzL1BLAwQUAAAACACHTuJAI8g7rL4AAADc&#10;AAAADwAAAGRycy9kb3ducmV2LnhtbEWPQWvCQBSE74L/YXlCb7oxNNJGVw9CoKV40Hjx9sw+k2D2&#10;bciuifn3XaHQ4zDzzTCb3dM0oqfO1ZYVLBcRCOLC6ppLBec8m3+AcB5ZY2OZFIzkYLedTjaYajvw&#10;kfqTL0UoYZeigsr7NpXSFRUZdAvbEgfvZjuDPsiulLrDIZSbRsZRtJIGaw4LFba0r6i4nx5GwXse&#10;5xdMyh997Mf8vDpc4uz6rdTbbBmtQXh6+v/wH/2lA/eZwOtMO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g7rL4A&#10;AADcAAAADwAAAAAAAAABACAAAAAiAAAAZHJzL2Rvd25yZXYueG1sUEsBAhQAFAAAAAgAh07iQDMv&#10;BZ47AAAAOQAAABAAAAAAAAAAAQAgAAAADQEAAGRycy9zaGFwZXhtbC54bWxQSwUGAAAAAAYABgBb&#10;AQAAtwMAAAAA&#10;">
                        <v:fill on="f" focussize="0,0"/>
                        <v:stroke weight="4.5pt" color="#44546A [3215]" miterlimit="8" joinstyle="miter"/>
                        <v:imagedata o:title=""/>
                        <o:lock v:ext="edit" aspectratio="f"/>
                      </v:line>
                      <v:roundrect id="_x0000_s1026" o:spid="_x0000_s1026" o:spt="2" style="position:absolute;left:1661375;top:1203076;height:721217;width:1622738;v-text-anchor:middle;" fillcolor="#EF8046" filled="t" stroked="f" coordsize="21600,21600" arcsize="0.166666666666667" o:gfxdata="UEsDBAoAAAAAAIdO4kAAAAAAAAAAAAAAAAAEAAAAZHJzL1BLAwQUAAAACACHTuJA8O6Yl74AAADc&#10;AAAADwAAAGRycy9kb3ducmV2LnhtbEWPT4vCMBTE74LfITxhL6JpRcq2GkUWBNc9qQteH82zLTYv&#10;3SbWP5/eLAgeh5n5DTNf3kwtOmpdZVlBPI5AEOdWV1wo+D2sR58gnEfWWFsmBXdysFz0e3PMtL3y&#10;jrq9L0SAsMtQQel9k0np8pIMurFtiIN3sq1BH2RbSN3iNcBNLSdRlEiDFYeFEhv6Kik/7y9GwWr4&#10;fX5c4ma7qbp7mv51yc/piEp9DOJoBsLTzb/Dr/ZGK5imCfyfCUdAL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O6Yl7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oundrect>
                    </v:group>
                    <v:group id="_x0000_s1026" o:spid="_x0000_s1026" o:spt="203" style="position:absolute;left:3177861;top:48344;height:2908291;width:1622738;" coordorigin="3177861,48344" coordsize="1622738,2908291" o:gfxdata="UEsDBAoAAAAAAIdO4kAAAAAAAAAAAAAAAAAEAAAAZHJzL1BLAwQUAAAACACHTuJAhxczpsAAAADc&#10;AAAADwAAAGRycy9kb3ducmV2LnhtbEWPT2vCQBTE70K/w/IK3ppNav/Y1FWKWPEghSZC6e2RfSbB&#10;7NuQXRP99q4geBxm5jfMbHEyjeipc7VlBUkUgyAurK65VLDLv5+mIJxH1thYJgVncrCYP4xmmGo7&#10;8C/1mS9FgLBLUUHlfZtK6YqKDLrItsTB29vOoA+yK6XucAhw08jnOH6TBmsOCxW2tKyoOGRHo2A9&#10;4PA1SVb99rBfnv/z15+/bUJKjR+T+BOEp5O/h2/tjVbw8vEO1zPhCMj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xczpsAAAADcAAAADwAAAAAAAAABACAAAAAiAAAAZHJzL2Rvd25yZXYu&#10;eG1sUEsBAhQAFAAAAAgAh07iQDMvBZ47AAAAOQAAABUAAAAAAAAAAQAgAAAADwEAAGRycy9ncm91&#10;cHNoYXBleG1sLnhtbFBLBQYAAAAABgAGAGABAADMAwAAAAA=&#10;">
                      <o:lock v:ext="edit" aspectratio="f"/>
                      <v:line id="_x0000_s1026" o:spid="_x0000_s1026" o:spt="20" style="position:absolute;left:3901902;top:48344;height:1412309;width:0;" filled="f" stroked="t" coordsize="21600,21600" o:gfxdata="UEsDBAoAAAAAAIdO4kAAAAAAAAAAAAAAAAAEAAAAZHJzL1BLAwQUAAAACACHTuJAzcmUMroAAADc&#10;AAAADwAAAGRycy9kb3ducmV2LnhtbEVPTYvCMBC9C/6HMMLeNLWsol2jB0FQFg9aL95mm7EtNpPS&#10;xKr/fuewsMfH+15tXq5RPXWh9mxgOklAERfe1lwauOS78QJUiMgWG89k4E0BNuvhYIWZ9U8+UX+O&#10;pZIQDhkaqGJsM61DUZHDMPEtsXA33zmMArtS2w6fEu4anSbJXDusWRoqbGlbUXE/P5yBzzzNrzgr&#10;v+2pf+eX+fGa7n4OxnyMpskXqEiv+C/+c++t+JayVs7IEdD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yZQyugAAANwA&#10;AAAPAAAAAAAAAAEAIAAAACIAAABkcnMvZG93bnJldi54bWxQSwECFAAUAAAACACHTuJAMy8FnjsA&#10;AAA5AAAAEAAAAAAAAAABACAAAAAJAQAAZHJzL3NoYXBleG1sLnhtbFBLBQYAAAAABgAGAFsBAACz&#10;AwAAAAA=&#10;">
                        <v:fill on="f" focussize="0,0"/>
                        <v:stroke weight="4.5pt" color="#44546A [3215]" miterlimit="8" joinstyle="miter"/>
                        <v:imagedata o:title=""/>
                        <o:lock v:ext="edit" aspectratio="f"/>
                      </v:line>
                      <v:roundrect id="_x0000_s1026" o:spid="_x0000_s1026" o:spt="2" style="position:absolute;left:3177861;top:2235418;height:721217;width:1622738;v-text-anchor:middle;" fillcolor="#FEC74C" filled="t" stroked="f" coordsize="21600,21600" arcsize="0.166666666666667" o:gfxdata="UEsDBAoAAAAAAIdO4kAAAAAAAAAAAAAAAAAEAAAAZHJzL1BLAwQUAAAACACHTuJAWGE+2MAAAADc&#10;AAAADwAAAGRycy9kb3ducmV2LnhtbEWPT2vCQBTE70K/w/IKXqRuItLW1NWDUCgetP5B7O2RfU1C&#10;s2/D7hqjn94VhB6HmfkNM513phYtOV9ZVpAOExDEudUVFwr2u8+XdxA+IGusLZOCC3mYz556U8y0&#10;PfOG2m0oRISwz1BBGUKTSenzkgz6oW2Io/drncEQpSukdniOcFPLUZK8SoMVx4USG1qUlP9tT0bB&#10;wqVuM8Drscvf8Ltbteufw3KtVP85TT5ABOrCf/jR/tIKxpMJ3M/EIyB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YT7Y&#10;wAAAANwAAAAPAAAAAAAAAAEAIAAAACIAAABkcnMvZG93bnJldi54bWxQSwECFAAUAAAACACHTuJA&#10;My8FnjsAAAA5AAAAEAAAAAAAAAABACAAAAAPAQAAZHJzL3NoYXBleG1sLnhtbFBLBQYAAAAABgAG&#10;AFsBAAC5AwAAAAA=&#10;">
                        <v:fill on="t" focussize="0,0"/>
                        <v:stroke on="f" weight="1pt" miterlimit="8" joinstyle="miter"/>
                        <v:imagedata o:title=""/>
                        <o:lock v:ext="edit" aspectratio="f"/>
                      </v:roundrect>
                    </v:group>
                    <v:group id="_x0000_s1026" o:spid="_x0000_s1026" o:spt="203" style="position:absolute;left:4649982;top:10732;height:1922787;width:1622738;" coordorigin="4649982,10732" coordsize="1622738,1922787" o:gfxdata="UEsDBAoAAAAAAIdO4kAAAAAAAAAAAAAAAAAEAAAAZHJzL1BLAwQUAAAACACHTuJAlhUxyLwAAADc&#10;AAAADwAAAGRycy9kb3ducmV2LnhtbEVPz2vCMBS+D/Y/hDfwtibdUEY1FilzeJCB7WDs9miebbF5&#10;KU1s9b9fDoMdP77fm/xmezHR6DvHGtJEgSCunem40fBV7Z/fQPiAbLB3TBru5CHfPj5sMDNu5hNN&#10;ZWhEDGGfoYY2hCGT0tctWfSJG4gjd3ajxRDh2Egz4hzDbS9flFpJix3HhhYHKlqqL+XVaviYcd69&#10;pu/T8XIu7j/V8vP7mJLWi6dUrUEEuoV/8Z/7YDQsVZwfz8QjIL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WFTHIvAAAANwAAAAPAAAAAAAAAAEAIAAAACIAAABkcnMvZG93bnJldi54bWxQ&#10;SwECFAAUAAAACACHTuJAMy8FnjsAAAA5AAAAFQAAAAAAAAABACAAAAALAQAAZHJzL2dyb3Vwc2hh&#10;cGV4bWwueG1sUEsFBgAAAAAGAAYAYAEAAMgDAAAAAA==&#10;">
                      <o:lock v:ext="edit" aspectratio="f"/>
                      <v:line id="_x0000_s1026" o:spid="_x0000_s1026" o:spt="20" style="position:absolute;left:5413422;top:10732;height:463639;width:0;" filled="f" stroked="t" coordsize="21600,21600" o:gfxdata="UEsDBAoAAAAAAIdO4kAAAAAAAAAAAAAAAAAEAAAAZHJzL1BLAwQUAAAACACHTuJAwhintb0AAADc&#10;AAAADwAAAGRycy9kb3ducmV2LnhtbEWPQYvCMBSE78L+h/AW9qZJyypSjR4WhJXFg7YXb8/m2Rab&#10;l9LEqv9+Iwgeh5n5hlmu77YVA/W+cawhmSgQxKUzDVcainwznoPwAdlg65g0PMjDevUxWmJm3I33&#10;NBxCJSKEfYYa6hC6TEpf1mTRT1xHHL2z6y2GKPtKmh5vEW5bmSo1kxYbjgs1dvRTU3k5XK2G7zzN&#10;jzit/sx+eOTFbHdMN6et1l+fiVqACHQP7/Cr/Ws0TFUCzzPxCM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GKe1vQAA&#10;ANwAAAAPAAAAAAAAAAEAIAAAACIAAABkcnMvZG93bnJldi54bWxQSwECFAAUAAAACACHTuJAMy8F&#10;njsAAAA5AAAAEAAAAAAAAAABACAAAAAMAQAAZHJzL3NoYXBleG1sLnhtbFBLBQYAAAAABgAGAFsB&#10;AAC2AwAAAAA=&#10;">
                        <v:fill on="f" focussize="0,0"/>
                        <v:stroke weight="4.5pt" color="#44546A [3215]" miterlimit="8" joinstyle="miter"/>
                        <v:imagedata o:title=""/>
                        <o:lock v:ext="edit" aspectratio="f"/>
                      </v:line>
                      <v:roundrect id="_x0000_s1026" o:spid="_x0000_s1026" o:spt="2" style="position:absolute;left:4649982;top:1212302;height:721217;width:1622738;v-text-anchor:middle;" fillcolor="#5DCCCB" filled="t" stroked="f" coordsize="21600,21600" arcsize="0.166666666666667" o:gfxdata="UEsDBAoAAAAAAIdO4kAAAAAAAAAAAAAAAAAEAAAAZHJzL1BLAwQUAAAACACHTuJASuueOLwAAADc&#10;AAAADwAAAGRycy9kb3ducmV2LnhtbEWPQWsCMRSE70L/Q3gFb5ooVZatUaiw4NFue+ntsXkmi5uX&#10;7Sau9t+bguBxmJlvmM3u5jsx0hDbwBoWcwWCuAmmZavh+6uaFSBiQjbYBSYNfxRht32ZbLA04cqf&#10;NNbJigzhWKIGl1JfShkbRx7jPPTE2TuFwWPKcrDSDHjNcN/JpVJr6bHlvOCwp72j5lxfvAbqq3H8&#10;KPY/x6P8dWd6s6e6slpPXxfqHUSiW3qGH+2D0bBSS/g/k4+A3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rnji8AAAA&#10;3A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oundrect>
                    </v:group>
                    <v:group id="_x0000_s1026" o:spid="_x0000_s1026" o:spt="203" style="position:absolute;left:6206279;top:61223;height:2879125;width:1622738;" coordorigin="6206279,61223" coordsize="1622738,2879125" o:gfxdata="UEsDBAoAAAAAAIdO4kAAAAAAAAAAAAAAAAAEAAAAZHJzL1BLAwQUAAAACACHTuJAZsevv78AAADc&#10;AAAADwAAAGRycy9kb3ducmV2LnhtbEWPzWrDMBCE74G8g9hAb4nkhoTiRAkhtKWHUIhdKL0t1sY2&#10;sVbGUv3z9lWh0OMwM98w++NoG9FT52vHGpKVAkFcOFNzqeEjf1k+gfAB2WDjmDRM5OF4mM/2mBo3&#10;8JX6LJQiQtinqKEKoU2l9EVFFv3KtcTRu7nOYoiyK6XpcIhw28hHpbbSYs1xocKWzhUV9+zbangd&#10;cDitk+f+cr+dp6988/55SUjrh0WidiACjeE//Nd+Mxo2ag2/Z+IRkIc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mx6+/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6941987;top:61223;height:1412309;width:0;" filled="f" stroked="t" coordsize="21600,21600" o:gfxdata="UEsDBAoAAAAAAIdO4kAAAAAAAAAAAAAAAAAEAAAAZHJzL1BLAwQUAAAACACHTuJA0m8ELb8AAADc&#10;AAAADwAAAGRycy9kb3ducmV2LnhtbEWPwWrDMBBE74X+g9hCb40UY4fiRvYhEGgIPTjOJbettbVN&#10;rJWxVCf++6pQ6HGYmTfMtrzbQcw0+d6xhvVKgSBunOm51XCu9y+vIHxANjg4Jg0LeSiLx4ct5sbd&#10;uKL5FFoRIexz1NCFMOZS+qYji37lRuLofbnJYohyaqWZ8BbhdpCJUhtpsee40OFIu46a6+nbakjr&#10;pL5g1h5NNS/1efNxSfafB62fn9bqDUSge/gP/7XfjYZMpfB7Jh4BWf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vBC2/&#10;AAAA3AAAAA8AAAAAAAAAAQAgAAAAIgAAAGRycy9kb3ducmV2LnhtbFBLAQIUABQAAAAIAIdO4kAz&#10;LwWeOwAAADkAAAAQAAAAAAAAAAEAIAAAAA4BAABkcnMvc2hhcGV4bWwueG1sUEsFBgAAAAAGAAYA&#10;WwEAALgDAAAAAA==&#10;">
                        <v:fill on="f" focussize="0,0"/>
                        <v:stroke weight="4.5pt" color="#44546A [3215]" miterlimit="8" joinstyle="miter"/>
                        <v:imagedata o:title=""/>
                        <o:lock v:ext="edit" aspectratio="f"/>
                      </v:line>
                      <v:roundrect id="_x0000_s1026" o:spid="_x0000_s1026" o:spt="2" style="position:absolute;left:6206279;top:2219131;height:721217;width:1622738;v-text-anchor:middle;" fillcolor="#4EB389" filled="t" stroked="f" coordsize="21600,21600" arcsize="0.166666666666667" o:gfxdata="UEsDBAoAAAAAAIdO4kAAAAAAAAAAAAAAAAAEAAAAZHJzL1BLAwQUAAAACACHTuJAyqUOFr0AAADc&#10;AAAADwAAAGRycy9kb3ducmV2LnhtbEWPT2sCMRTE74LfITyhF6mJBUW2Rg8VQRCKf9r7283r7uLm&#10;JSRxtd/eFAoeh5n5DbNc320negqxdaxhOlEgiCtnWq41fJ23rwsQMSEb7ByThl+KsF4NB0ssjLvx&#10;kfpTqkWGcCxQQ5OSL6SMVUMW48R54uz9uGAxZRlqaQLeMtx28k2pubTYcl5o0NNHQ9XldLUa9rYv&#10;va82+0+7GB/m35cy9qHU+mU0Ve8gEt3TM/zf3hkNMzWDvzP5CM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pQ4W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oundrect>
                    </v:group>
                  </v:group>
                  <v:shape id="文本框 44" o:spid="_x0000_s1026" o:spt="202" type="#_x0000_t202" style="position:absolute;left:38637;top:2246064;height:883920;width:1622425;" filled="f" stroked="f" coordsize="21600,21600" o:gfxdata="UEsDBAoAAAAAAIdO4kAAAAAAAAAAAAAAAAAEAAAAZHJzL1BLAwQUAAAACACHTuJA0SSJm7sAAADc&#10;AAAADwAAAGRycy9kb3ducmV2LnhtbEWPT4vCMBTE7wt+h/AEb2uiqGg1elAET7v4F7w9mmdbbF5K&#10;E233228EweMwM79hFqvWluJJtS8caxj0FQji1JmCMw2n4/Z7CsIHZIOlY9LwRx5Wy87XAhPjGt7T&#10;8xAyESHsE9SQh1AlUvo0J4u+7yri6N1cbTFEWWfS1NhEuC3lUKmJtFhwXMixonVO6f3wsBrOP7fr&#10;ZaR+s40dV41rlWQ7k1r3ugM1BxGoDZ/wu70zGsZqAq8z8Qj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SSJm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pStyle w:val="29"/>
                            <w:spacing w:beforeAutospacing="0" w:after="0" w:afterAutospacing="0" w:line="320" w:lineRule="exact"/>
                            <w:jc w:val="center"/>
                            <w:rPr>
                              <w:b/>
                              <w:sz w:val="21"/>
                              <w:szCs w:val="21"/>
                            </w:rPr>
                          </w:pPr>
                          <w:r>
                            <w:rPr>
                              <w:rFonts w:hint="eastAsia" w:cstheme="minorBidi"/>
                              <w:b/>
                              <w:color w:val="FFFFFF" w:themeColor="background1"/>
                              <w:kern w:val="24"/>
                              <w:sz w:val="21"/>
                              <w:szCs w:val="21"/>
                              <w14:textFill>
                                <w14:solidFill>
                                  <w14:schemeClr w14:val="bg1"/>
                                </w14:solidFill>
                              </w14:textFill>
                            </w:rPr>
                            <w:t>课堂教学</w:t>
                          </w:r>
                        </w:p>
                        <w:p>
                          <w:pPr>
                            <w:pStyle w:val="29"/>
                            <w:spacing w:beforeAutospacing="0" w:after="0" w:afterAutospacing="0" w:line="320" w:lineRule="exact"/>
                            <w:jc w:val="center"/>
                            <w:rPr>
                              <w:sz w:val="21"/>
                              <w:szCs w:val="21"/>
                            </w:rPr>
                          </w:pPr>
                          <w:r>
                            <w:rPr>
                              <w:rFonts w:ascii="Times New Roman" w:hAnsi="Times New Roman" w:cs="Times New Roman"/>
                              <w:b/>
                              <w:bCs/>
                              <w:color w:val="FFFFFF" w:themeColor="background1"/>
                              <w:kern w:val="24"/>
                              <w:sz w:val="21"/>
                              <w:szCs w:val="21"/>
                              <w14:textFill>
                                <w14:solidFill>
                                  <w14:schemeClr w14:val="bg1"/>
                                </w14:solidFill>
                              </w14:textFill>
                            </w:rPr>
                            <w:t>3.71</w:t>
                          </w:r>
                          <w:r>
                            <w:rPr>
                              <w:rFonts w:hint="eastAsia" w:cstheme="minorBidi"/>
                              <w:b/>
                              <w:bCs/>
                              <w:color w:val="FFFFFF" w:themeColor="background1"/>
                              <w:kern w:val="24"/>
                              <w:sz w:val="21"/>
                              <w:szCs w:val="21"/>
                              <w14:textFill>
                                <w14:solidFill>
                                  <w14:schemeClr w14:val="bg1"/>
                                </w14:solidFill>
                              </w14:textFill>
                            </w:rPr>
                            <w:t>分</w:t>
                          </w:r>
                        </w:p>
                      </w:txbxContent>
                    </v:textbox>
                  </v:shape>
                  <v:shape id="文本框 45" o:spid="_x0000_s1026" o:spt="202" type="#_x0000_t202" style="position:absolute;left:1738568;top:1232225;height:883920;width:1507490;" filled="f" stroked="f" coordsize="21600,21600" o:gfxdata="UEsDBAoAAAAAAIdO4kAAAAAAAAAAAAAAAAAEAAAAZHJzL1BLAwQUAAAACACHTuJAvmgsAL4AAADc&#10;AAAADwAAAGRycy9kb3ducmV2LnhtbEWPQWvCQBSE74L/YXlCb7qbUq2N2eTQUuipom2F3h7ZZxLM&#10;vg3ZrUn/vSsIHoeZ+YbJitG24ky9bxxrSBYKBHHpTMOVhu+v9/kahA/IBlvHpOGfPBT5dJJhatzA&#10;OzrvQyUihH2KGuoQulRKX9Zk0S9cRxy9o+sthij7Spoehwi3rXxUaiUtNhwXauzotabytP+zGn4+&#10;j7+HJ7Wt3uyyG9yoJNsXqfXDLFEbEIHGcA/f2h9Gw1I9w/VMPAIy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mgsA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29"/>
                            <w:spacing w:beforeAutospacing="0" w:after="0" w:afterAutospacing="0" w:line="320" w:lineRule="exact"/>
                            <w:jc w:val="center"/>
                            <w:rPr>
                              <w:sz w:val="21"/>
                              <w:szCs w:val="21"/>
                            </w:rPr>
                          </w:pPr>
                          <w:r>
                            <w:rPr>
                              <w:rFonts w:hint="eastAsia" w:cstheme="minorBidi"/>
                              <w:b/>
                              <w:bCs/>
                              <w:color w:val="FFFFFF" w:themeColor="background1"/>
                              <w:kern w:val="24"/>
                              <w:sz w:val="21"/>
                              <w:szCs w:val="21"/>
                              <w14:textFill>
                                <w14:solidFill>
                                  <w14:schemeClr w14:val="bg1"/>
                                </w14:solidFill>
                              </w14:textFill>
                            </w:rPr>
                            <w:t xml:space="preserve">母校满意度 </w:t>
                          </w:r>
                          <w:r>
                            <w:rPr>
                              <w:rFonts w:ascii="Times New Roman" w:hAnsi="Times New Roman" w:cs="Times New Roman"/>
                              <w:b/>
                              <w:bCs/>
                              <w:color w:val="FFFFFF" w:themeColor="background1"/>
                              <w:kern w:val="24"/>
                              <w:sz w:val="21"/>
                              <w:szCs w:val="21"/>
                              <w14:textFill>
                                <w14:solidFill>
                                  <w14:schemeClr w14:val="bg1"/>
                                </w14:solidFill>
                              </w14:textFill>
                            </w:rPr>
                            <w:t>98.71</w:t>
                          </w:r>
                          <w:r>
                            <w:rPr>
                              <w:rFonts w:cstheme="minorBidi"/>
                              <w:b/>
                              <w:bCs/>
                              <w:color w:val="FFFFFF" w:themeColor="background1"/>
                              <w:kern w:val="24"/>
                              <w:sz w:val="21"/>
                              <w:szCs w:val="21"/>
                              <w14:textFill>
                                <w14:solidFill>
                                  <w14:schemeClr w14:val="bg1"/>
                                </w14:solidFill>
                              </w14:textFill>
                            </w:rPr>
                            <w:t>%</w:t>
                          </w:r>
                        </w:p>
                      </w:txbxContent>
                    </v:textbox>
                  </v:shape>
                  <v:shape id="文本框 46" o:spid="_x0000_s1026" o:spt="202" type="#_x0000_t202" style="position:absolute;left:3232593;top:2235436;height:883920;width:1524000;" filled="f" stroked="f" coordsize="21600,21600" o:gfxdata="UEsDBAoAAAAAAIdO4kAAAAAAAAAAAAAAAAAEAAAAZHJzL1BLAwQUAAAACACHTuJAz/e4crsAAADc&#10;AAAADwAAAGRycy9kb3ducmV2LnhtbEVPPWvDMBDdA/0P4grdEsmlDq1r2UNLIVNCkrbQ7bAutql1&#10;MpZiO/8+GgIZH+87L2fbiZEG3zrWkKwUCOLKmZZrDd/Hr+UrCB+QDXaOScOFPJTFwyLHzLiJ9zQe&#10;Qi1iCPsMNTQh9JmUvmrIol+5njhyJzdYDBEOtTQDTjHcdvJZqbW02HJsaLCnj4aq/8PZavjZnv5+&#10;X9Su/rRpP7lZSbZvUuunx0S9gwg0h7v45t4YDamKa+OZeARkc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e4c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pStyle w:val="29"/>
                            <w:spacing w:beforeAutospacing="0" w:after="0" w:afterAutospacing="0" w:line="320" w:lineRule="exact"/>
                            <w:jc w:val="center"/>
                            <w:rPr>
                              <w:b/>
                              <w:sz w:val="21"/>
                              <w:szCs w:val="21"/>
                            </w:rPr>
                          </w:pPr>
                          <w:r>
                            <w:rPr>
                              <w:rFonts w:hint="eastAsia" w:cstheme="minorBidi"/>
                              <w:b/>
                              <w:color w:val="FFFFFF" w:themeColor="background1"/>
                              <w:kern w:val="24"/>
                              <w:sz w:val="21"/>
                              <w:szCs w:val="21"/>
                              <w14:textFill>
                                <w14:solidFill>
                                  <w14:schemeClr w14:val="bg1"/>
                                </w14:solidFill>
                              </w14:textFill>
                            </w:rPr>
                            <w:t>实践教学</w:t>
                          </w:r>
                        </w:p>
                        <w:p>
                          <w:pPr>
                            <w:pStyle w:val="29"/>
                            <w:spacing w:beforeAutospacing="0" w:after="0" w:afterAutospacing="0" w:line="320" w:lineRule="exact"/>
                            <w:jc w:val="center"/>
                            <w:rPr>
                              <w:sz w:val="21"/>
                              <w:szCs w:val="21"/>
                            </w:rPr>
                          </w:pPr>
                          <w:r>
                            <w:rPr>
                              <w:rFonts w:ascii="Times New Roman" w:hAnsi="Times New Roman" w:cs="Times New Roman"/>
                              <w:b/>
                              <w:bCs/>
                              <w:color w:val="FFFFFF" w:themeColor="background1"/>
                              <w:kern w:val="24"/>
                              <w:sz w:val="21"/>
                              <w:szCs w:val="21"/>
                              <w14:textFill>
                                <w14:solidFill>
                                  <w14:schemeClr w14:val="bg1"/>
                                </w14:solidFill>
                              </w14:textFill>
                            </w:rPr>
                            <w:t>3.60</w:t>
                          </w:r>
                          <w:r>
                            <w:rPr>
                              <w:rFonts w:hint="eastAsia" w:cstheme="minorBidi"/>
                              <w:b/>
                              <w:bCs/>
                              <w:color w:val="FFFFFF" w:themeColor="background1"/>
                              <w:kern w:val="24"/>
                              <w:sz w:val="21"/>
                              <w:szCs w:val="21"/>
                              <w14:textFill>
                                <w14:solidFill>
                                  <w14:schemeClr w14:val="bg1"/>
                                </w14:solidFill>
                              </w14:textFill>
                            </w:rPr>
                            <w:t>分</w:t>
                          </w:r>
                        </w:p>
                      </w:txbxContent>
                    </v:textbox>
                  </v:shape>
                  <v:shape id="文本框 47" o:spid="_x0000_s1026" o:spt="202" type="#_x0000_t202" style="position:absolute;left:4757079;top:1249392;height:883920;width:1449705;" filled="f" stroked="f" coordsize="21600,21600" o:gfxdata="UEsDBAoAAAAAAIdO4kAAAAAAAAAAAAAAAAAEAAAAZHJzL1BLAwQUAAAACACHTuJAoLsd6b0AAADc&#10;AAAADwAAAGRycy9kb3ducmV2LnhtbEWPQWvCQBSE7wX/w/IK3upupBaN2eSgFHpSqrbg7ZF9JqHZ&#10;tyG7NfHfu0Khx2FmvmGyYrStuFLvG8cakpkCQVw603Cl4XR8f1mC8AHZYOuYNNzIQ5FPnjJMjRv4&#10;k66HUIkIYZ+ihjqELpXSlzVZ9DPXEUfv4nqLIcq+kqbHIcJtK+dKvUmLDceFGjva1FT+HH6thq/d&#10;5fz9qvbV1i66wY1Ksl1JrafPiVqDCDSG//Bf+8NoWKgVPM7EIy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ux3p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29"/>
                            <w:spacing w:beforeAutospacing="0" w:after="0" w:afterAutospacing="0" w:line="320" w:lineRule="exact"/>
                            <w:jc w:val="center"/>
                            <w:rPr>
                              <w:b/>
                              <w:sz w:val="21"/>
                              <w:szCs w:val="21"/>
                            </w:rPr>
                          </w:pPr>
                          <w:r>
                            <w:rPr>
                              <w:rFonts w:hint="eastAsia" w:cstheme="minorBidi"/>
                              <w:b/>
                              <w:color w:val="FFFFFF" w:themeColor="background1"/>
                              <w:kern w:val="24"/>
                              <w:sz w:val="21"/>
                              <w:szCs w:val="21"/>
                              <w14:textFill>
                                <w14:solidFill>
                                  <w14:schemeClr w14:val="bg1"/>
                                </w14:solidFill>
                              </w14:textFill>
                            </w:rPr>
                            <w:t>母校推荐度</w:t>
                          </w:r>
                        </w:p>
                        <w:p>
                          <w:pPr>
                            <w:pStyle w:val="29"/>
                            <w:spacing w:beforeAutospacing="0" w:after="0" w:afterAutospacing="0" w:line="320" w:lineRule="exact"/>
                            <w:jc w:val="center"/>
                            <w:rPr>
                              <w:rFonts w:ascii="Times New Roman" w:hAnsi="Times New Roman" w:cs="Times New Roman"/>
                              <w:sz w:val="21"/>
                              <w:szCs w:val="21"/>
                            </w:rPr>
                          </w:pPr>
                          <w:r>
                            <w:rPr>
                              <w:rFonts w:ascii="Times New Roman" w:hAnsi="Times New Roman" w:cs="Times New Roman"/>
                              <w:b/>
                              <w:bCs/>
                              <w:color w:val="FFFFFF" w:themeColor="background1"/>
                              <w:kern w:val="24"/>
                              <w:sz w:val="21"/>
                              <w:szCs w:val="21"/>
                              <w14:textFill>
                                <w14:solidFill>
                                  <w14:schemeClr w14:val="bg1"/>
                                </w14:solidFill>
                              </w14:textFill>
                            </w:rPr>
                            <w:t>68.75%</w:t>
                          </w:r>
                        </w:p>
                      </w:txbxContent>
                    </v:textbox>
                  </v:shape>
                  <v:shape id="文本框 48" o:spid="_x0000_s1026" o:spt="202" type="#_x0000_t202" style="position:absolute;left:6272638;top:2220435;height:883920;width:1556385;" filled="f" stroked="f" coordsize="21600,21600" o:gfxdata="UEsDBAoAAAAAAIdO4kAAAAAAAAAAAAAAAAAEAAAAZHJzL1BLAwQUAAAACACHTuJAtFgiqbsAAADc&#10;AAAADwAAAGRycy9kb3ducmV2LnhtbEVPy2oCMRTdC/5DuEJ3TjKlSp1OdKEUuqpU24K7y+TOg05u&#10;wiR1pn9vFgWXh/Mud5PtxZWG0DnWkGcKBHHlTMeNhs/z6/IZRIjIBnvHpOGPAuy281mJhXEjf9D1&#10;FBuRQjgUqKGN0RdShqoliyFznjhxtRssxgSHRpoBxxRue/mo1Fpa7Dg1tOhp31L1c/q1Gr7e68v3&#10;kzo2B7vyo5uUZLuRWj8scvUCItIU7+J/95vRsMrT/HQmHQG5v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Fgiq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pStyle w:val="29"/>
                            <w:spacing w:beforeAutospacing="0" w:after="0" w:afterAutospacing="0" w:line="320" w:lineRule="exact"/>
                            <w:jc w:val="center"/>
                            <w:rPr>
                              <w:b/>
                              <w:sz w:val="21"/>
                              <w:szCs w:val="21"/>
                            </w:rPr>
                          </w:pPr>
                          <w:r>
                            <w:rPr>
                              <w:rFonts w:hint="eastAsia" w:cstheme="minorBidi"/>
                              <w:b/>
                              <w:color w:val="FFFFFF" w:themeColor="background1"/>
                              <w:kern w:val="24"/>
                              <w:sz w:val="21"/>
                              <w:szCs w:val="21"/>
                              <w14:textFill>
                                <w14:solidFill>
                                  <w14:schemeClr w14:val="bg1"/>
                                </w14:solidFill>
                              </w14:textFill>
                            </w:rPr>
                            <w:t>任课教师</w:t>
                          </w:r>
                        </w:p>
                        <w:p>
                          <w:pPr>
                            <w:pStyle w:val="29"/>
                            <w:spacing w:beforeAutospacing="0" w:after="0" w:afterAutospacing="0" w:line="320" w:lineRule="exact"/>
                            <w:jc w:val="center"/>
                            <w:rPr>
                              <w:sz w:val="21"/>
                              <w:szCs w:val="21"/>
                            </w:rPr>
                          </w:pPr>
                          <w:r>
                            <w:rPr>
                              <w:rFonts w:ascii="Times New Roman" w:hAnsi="Times New Roman" w:cs="Times New Roman"/>
                              <w:b/>
                              <w:bCs/>
                              <w:color w:val="FFFFFF" w:themeColor="background1"/>
                              <w:kern w:val="24"/>
                              <w:sz w:val="21"/>
                              <w:szCs w:val="21"/>
                              <w14:textFill>
                                <w14:solidFill>
                                  <w14:schemeClr w14:val="bg1"/>
                                </w14:solidFill>
                              </w14:textFill>
                            </w:rPr>
                            <w:t>3.96</w:t>
                          </w:r>
                          <w:r>
                            <w:rPr>
                              <w:rFonts w:hint="eastAsia" w:cstheme="minorBidi"/>
                              <w:b/>
                              <w:bCs/>
                              <w:color w:val="FFFFFF" w:themeColor="background1"/>
                              <w:kern w:val="24"/>
                              <w:sz w:val="21"/>
                              <w:szCs w:val="21"/>
                              <w14:textFill>
                                <w14:solidFill>
                                  <w14:schemeClr w14:val="bg1"/>
                                </w14:solidFill>
                              </w14:textFill>
                            </w:rPr>
                            <w:t>分</w:t>
                          </w:r>
                        </w:p>
                      </w:txbxContent>
                    </v:textbox>
                  </v:shape>
                </v:group>
                <v:shape id="_x0000_s1026" o:spid="_x0000_s1026" o:spt="75" type="#_x0000_t75" style="position:absolute;left:441648;top:1444524;height:725487;width:719390;" filled="f" o:preferrelative="t" stroked="f" coordsize="21600,21600" o:gfxdata="UEsDBAoAAAAAAIdO4kAAAAAAAAAAAAAAAAAEAAAAZHJzL1BLAwQUAAAACACHTuJAxju9WsAAAADc&#10;AAAADwAAAGRycy9kb3ducmV2LnhtbEWPQUsDMRSE74L/ITyhtzYboVrXzZZiW/FSwbaKx8fmubt0&#10;87IksVv99Y1Q8DjMzDdMMT/ZThzJh9axBjXJQBBXzrRca9jv1uMZiBCRDXaOScMPBZiX11cF5sYN&#10;/EbHbaxFgnDIUUMTY59LGaqGLIaJ64mT9+W8xZikr6XxOCS47eRtlt1Jiy2nhQZ7emqoOmy/rYbX&#10;yv4+q04t/Of9+zIO64fV/mOj9ehGZY8gIp3if/jSfjEapkrB35l0BGR5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O71a&#10;wAAAANwAAAAPAAAAAAAAAAEAIAAAACIAAABkcnMvZG93bnJldi54bWxQSwECFAAUAAAACACHTuJA&#10;My8FnjsAAAA5AAAAEAAAAAAAAAABACAAAAAPAQAAZHJzL3NoYXBleG1sLnhtbFBLBQYAAAAABgAG&#10;AFsBAAC5AwAAAAA=&#10;">
                  <v:fill on="f" focussize="0,0"/>
                  <v:stroke on="f"/>
                  <v:imagedata r:id="rId19" o:title=""/>
                  <o:lock v:ext="edit" aspectratio="t"/>
                </v:shape>
                <v:shape id="_x0000_s1026" o:spid="_x0000_s1026" o:spt="75" type="#_x0000_t75" style="position:absolute;left:5057738;top:427751;height:725487;width:719390;" filled="f" o:preferrelative="t" stroked="f" coordsize="21600,21600" o:gfxdata="UEsDBAoAAAAAAIdO4kAAAAAAAAAAAAAAAAAEAAAAZHJzL1BLAwQUAAAACACHTuJAcCMuy78AAADc&#10;AAAADwAAAGRycy9kb3ducmV2LnhtbEWPT2vCQBTE74V+h+UJvdWNglJjVsGCEuKhNZHS4yP78gez&#10;b0N21fTbu4VCj8PM/IZJtqPpxI0G11pWMJtGIIhLq1uuFZyL/esbCOeRNXaWScEPOdhunp8SjLW9&#10;84luua9FgLCLUUHjfR9L6cqGDLqp7YmDV9nBoA9yqKUe8B7gppPzKFpKgy2HhQZ7em+ovORXoyD9&#10;1vtdkReX1B92VB0/M/z4ypR6mcyiNQhPo/8P/7VTrWC1XMDvmXAE5OY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jLsu/&#10;AAAA3AAAAA8AAAAAAAAAAQAgAAAAIgAAAGRycy9kb3ducmV2LnhtbFBLAQIUABQAAAAIAIdO4kAz&#10;LwWeOwAAADkAAAAQAAAAAAAAAAEAIAAAAA4BAABkcnMvc2hhcGV4bWwueG1sUEsFBgAAAAAGAAYA&#10;WwEAALgDAAAAAA==&#10;">
                  <v:fill on="f" focussize="0,0"/>
                  <v:stroke on="f"/>
                  <v:imagedata r:id="rId20" o:title=""/>
                  <o:lock v:ext="edit" aspectratio="t"/>
                </v:shape>
                <v:shape id="_x0000_s1026" o:spid="_x0000_s1026" o:spt="75" type="#_x0000_t75" style="position:absolute;left:3558484;top:1461641;height:719390;width:719390;" filled="f" o:preferrelative="t" stroked="f" coordsize="21600,21600" o:gfxdata="UEsDBAoAAAAAAIdO4kAAAAAAAAAAAAAAAAAEAAAAZHJzL1BLAwQUAAAACACHTuJALtG7ArsAAADc&#10;AAAADwAAAGRycy9kb3ducmV2LnhtbEVPy4rCMBTdC/MP4Q64kTHVYkc7RhcjgivFF7i8NHeaMs1N&#10;aaLVvzcLweXhvOfLu63FjVpfOVYwGiYgiAunKy4VnI7rrykIH5A11o5JwYM8LBcfvTnm2nW8p9sh&#10;lCKGsM9RgQmhyaX0hSGLfuga4sj9udZiiLAtpW6xi+G2luMkyaTFimODwYZ+DRX/h6tVMMj20p43&#10;6aS8ZKvdNqRb06VXpfqfo+QHRKB7eItf7o1WMPuO8+OZeATk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tG7ArsAAADc&#10;AAAADwAAAAAAAAABACAAAAAiAAAAZHJzL2Rvd25yZXYueG1sUEsBAhQAFAAAAAgAh07iQDMvBZ47&#10;AAAAOQAAABAAAAAAAAAAAQAgAAAACgEAAGRycy9zaGFwZXhtbC54bWxQSwUGAAAAAAYABgBbAQAA&#10;tAMAAAAA&#10;">
                  <v:fill on="f" focussize="0,0"/>
                  <v:stroke on="f"/>
                  <v:imagedata r:id="rId21" o:title=""/>
                  <o:lock v:ext="edit" aspectratio="t"/>
                </v:shape>
                <v:shape id="_x0000_s1026" o:spid="_x0000_s1026" o:spt="75" type="#_x0000_t75" style="position:absolute;left:6601843;top:1448175;height:719390;width:719390;" filled="f" o:preferrelative="t" stroked="f" coordsize="21600,21600" o:gfxdata="UEsDBAoAAAAAAIdO4kAAAAAAAAAAAAAAAAAEAAAAZHJzL1BLAwQUAAAACACHTuJAy+HdML8AAADc&#10;AAAADwAAAGRycy9kb3ducmV2LnhtbEWPT4vCMBTE74LfITzBi6ypCltbjSKK4oIXdWWvb5tnW2xe&#10;ShP/fXuzsOBxmJnfMNP5w1TiRo0rLSsY9CMQxJnVJecKvo/rjzEI55E1VpZJwZMczGft1hRTbe+8&#10;p9vB5yJA2KWooPC+TqV0WUEGXd/WxME728agD7LJpW7wHuCmksMo+pQGSw4LBda0LCi7HK5GQfyV&#10;LJ51cupttvHq9LOLc+N+F0p1O4NoAsLTw7/D/+2tVpDEI/g7E46AnL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h3TC/&#10;AAAA3AAAAA8AAAAAAAAAAQAgAAAAIgAAAGRycy9kb3ducmV2LnhtbFBLAQIUABQAAAAIAIdO4kAz&#10;LwWeOwAAADkAAAAQAAAAAAAAAAEAIAAAAA4BAABkcnMvc2hhcGV4bWwueG1sUEsFBgAAAAAGAAYA&#10;WwEAALgDAAAAAA==&#10;">
                  <v:fill on="f" focussize="0,0"/>
                  <v:stroke on="f"/>
                  <v:imagedata r:id="rId22" o:title=""/>
                  <o:lock v:ext="edit" aspectratio="t"/>
                </v:shape>
                <v:shape id="_x0000_s1026" o:spid="_x0000_s1026" o:spt="75" type="#_x0000_t75" style="position:absolute;left:2106411;top:439043;height:719390;width:719390;" filled="f" o:preferrelative="t" stroked="f" coordsize="21600,21600" o:gfxdata="UEsDBAoAAAAAAIdO4kAAAAAAAAAAAAAAAAAEAAAAZHJzL1BLAwQUAAAACACHTuJAae1yArkAAADc&#10;AAAADwAAAGRycy9kb3ducmV2LnhtbEVPPW/CMBDdK/EfrEPqVhx3qNKAYUBCQmUC2oHtFB9xRHwO&#10;8RHg39dDpY5P73uxeoROjTSkNrIFMytAEdfRtdxY+D5u3kpQSZAddpHJwpMSrJaTlwVWLt55T+NB&#10;GpVDOFVowYv0ldap9hQwzWJPnLlzHAJKhkOj3YD3HB46/V4UHzpgy7nBY09rT/XlcAsW1v7nevpC&#10;MaPgcWewNPvSbKx9nZpiDkroIf/iP/fWWfgs89p8Jh8Bvf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ntcgK5AAAA3AAA&#10;AA8AAAAAAAAAAQAgAAAAIgAAAGRycy9kb3ducmV2LnhtbFBLAQIUABQAAAAIAIdO4kAzLwWeOwAA&#10;ADkAAAAQAAAAAAAAAAEAIAAAAAgBAABkcnMvc2hhcGV4bWwueG1sUEsFBgAAAAAGAAYAWwEAALID&#10;AAAAAA==&#10;">
                  <v:fill on="f" focussize="0,0"/>
                  <v:stroke on="f"/>
                  <v:imagedata r:id="rId23" o:title=""/>
                  <o:lock v:ext="edit" aspectratio="t"/>
                </v:shape>
              </v:group>
            </w:pict>
          </mc:Fallback>
        </mc:AlternateContent>
      </w:r>
    </w:p>
    <w:p>
      <w:pPr>
        <w:pStyle w:val="64"/>
        <w:spacing w:before="156" w:after="156"/>
        <w:ind w:firstLine="0" w:firstLineChars="0"/>
        <w:jc w:val="center"/>
        <w:rPr>
          <w:rFonts w:ascii="Times New Roman" w:hAnsi="Times New Roman"/>
        </w:rPr>
      </w:pPr>
    </w:p>
    <w:p>
      <w:pPr>
        <w:pStyle w:val="64"/>
        <w:spacing w:before="156" w:after="156"/>
        <w:ind w:firstLine="0" w:firstLineChars="0"/>
        <w:jc w:val="center"/>
        <w:rPr>
          <w:rFonts w:ascii="Times New Roman" w:hAnsi="Times New Roman"/>
        </w:rPr>
      </w:pPr>
    </w:p>
    <w:p>
      <w:pPr>
        <w:pStyle w:val="64"/>
        <w:spacing w:before="156" w:after="156"/>
        <w:ind w:firstLine="0" w:firstLineChars="0"/>
        <w:jc w:val="center"/>
        <w:rPr>
          <w:rFonts w:ascii="Times New Roman" w:hAnsi="Times New Roman"/>
        </w:rPr>
      </w:pPr>
    </w:p>
    <w:p>
      <w:pPr>
        <w:pStyle w:val="64"/>
        <w:spacing w:before="156" w:after="156"/>
        <w:ind w:firstLine="0" w:firstLineChars="0"/>
        <w:jc w:val="center"/>
        <w:rPr>
          <w:rFonts w:ascii="Times New Roman" w:hAnsi="Times New Roman"/>
        </w:rPr>
      </w:pPr>
    </w:p>
    <w:p>
      <w:pPr>
        <w:pStyle w:val="64"/>
        <w:spacing w:before="156" w:after="156"/>
        <w:ind w:firstLine="0" w:firstLineChars="0"/>
        <w:rPr>
          <w:rFonts w:ascii="Times New Roman" w:hAnsi="Times New Roman"/>
        </w:rPr>
      </w:pPr>
    </w:p>
    <w:p>
      <w:pPr>
        <w:pStyle w:val="203"/>
        <w:spacing w:before="0" w:beforeLines="0" w:after="0" w:afterLines="0"/>
      </w:pPr>
      <w:bookmarkStart w:id="21" w:name="_Toc27002288"/>
      <w:r>
        <w:t>图4  2019届毕业生对人才培养的评价</w:t>
      </w:r>
      <w:bookmarkEnd w:id="21"/>
    </w:p>
    <w:p>
      <w:pPr>
        <w:pStyle w:val="142"/>
        <w:rPr>
          <w:color w:val="4472C4" w:themeColor="accent1"/>
          <w14:textFill>
            <w14:solidFill>
              <w14:schemeClr w14:val="accent1"/>
            </w14:solidFill>
          </w14:textFill>
        </w:rPr>
      </w:pPr>
      <w:bookmarkStart w:id="22" w:name="_Toc520328886"/>
      <w:bookmarkStart w:id="23" w:name="_Toc27601805"/>
      <w:r>
        <w:rPr>
          <w:rFonts w:hint="eastAsia"/>
          <w:color w:val="4472C4" w:themeColor="accent1"/>
          <w14:textFill>
            <w14:solidFill>
              <w14:schemeClr w14:val="accent1"/>
            </w14:solidFill>
          </w14:textFill>
        </w:rPr>
        <w:t>五、</w:t>
      </w:r>
      <w:bookmarkEnd w:id="22"/>
      <w:r>
        <w:rPr>
          <w:rFonts w:hint="eastAsia"/>
          <w:color w:val="4472C4" w:themeColor="accent1"/>
          <w14:textFill>
            <w14:solidFill>
              <w14:schemeClr w14:val="accent1"/>
            </w14:solidFill>
          </w14:textFill>
        </w:rPr>
        <w:t>对就业教育/服务的评价</w:t>
      </w:r>
      <w:bookmarkEnd w:id="23"/>
    </w:p>
    <w:p>
      <w:pPr>
        <w:pStyle w:val="199"/>
        <w:spacing w:before="156" w:beforeLines="50" w:after="156" w:afterLines="50"/>
        <w:ind w:firstLine="480"/>
      </w:pPr>
      <w:r>
        <w:rPr>
          <w:rFonts w:hint="eastAsia"/>
        </w:rPr>
        <w:t>学校</w:t>
      </w:r>
      <w:r>
        <w:t>2019届</w:t>
      </w:r>
      <w:r>
        <w:rPr>
          <w:rFonts w:hint="eastAsia"/>
        </w:rPr>
        <w:t>毕业生对学校各项就业教育/服务的满意度均在</w:t>
      </w:r>
      <w:r>
        <w:t>91.00%</w:t>
      </w:r>
      <w:r>
        <w:rPr>
          <w:rFonts w:hint="eastAsia"/>
        </w:rPr>
        <w:t>以上；其中对“就业手续办理（户口档案迁移等）”（</w:t>
      </w:r>
      <w:r>
        <w:t>95.29%</w:t>
      </w:r>
      <w:r>
        <w:rPr>
          <w:rFonts w:hint="eastAsia"/>
        </w:rPr>
        <w:t>）、“学校发布的招聘信息”（</w:t>
      </w:r>
      <w:r>
        <w:t>93.68%</w:t>
      </w:r>
      <w:r>
        <w:rPr>
          <w:rFonts w:hint="eastAsia"/>
        </w:rPr>
        <w:t>）、“生涯规划/就业指导课”（</w:t>
      </w:r>
      <w:r>
        <w:t>93.18%</w:t>
      </w:r>
      <w:r>
        <w:rPr>
          <w:rFonts w:hint="eastAsia"/>
        </w:rPr>
        <w:t>）的满意度</w:t>
      </w:r>
      <w:r>
        <w:t>相对较高</w:t>
      </w:r>
      <w:r>
        <w:rPr>
          <w:rFonts w:hint="eastAsia"/>
        </w:rPr>
        <w:t>。</w:t>
      </w:r>
    </w:p>
    <w:p>
      <w:pPr>
        <w:pStyle w:val="64"/>
        <w:spacing w:before="156" w:after="156"/>
        <w:ind w:firstLine="0" w:firstLineChars="0"/>
        <w:jc w:val="center"/>
      </w:pPr>
      <w:r>
        <w:rPr>
          <w:rFonts w:hint="eastAsia"/>
          <w:lang w:val="en-US"/>
        </w:rPr>
        <w:drawing>
          <wp:inline distT="0" distB="0" distL="0" distR="0">
            <wp:extent cx="4733925" cy="2609850"/>
            <wp:effectExtent l="0" t="0" r="0" b="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pStyle w:val="203"/>
        <w:spacing w:before="0" w:beforeLines="0" w:after="0" w:afterLines="0"/>
      </w:pPr>
      <w:bookmarkStart w:id="24" w:name="_Toc27002289"/>
      <w:r>
        <w:rPr>
          <w:rFonts w:hint="eastAsia"/>
        </w:rPr>
        <w:t>图5</w:t>
      </w:r>
      <w:r>
        <w:t xml:space="preserve">  2019届毕业生对就业</w:t>
      </w:r>
      <w:r>
        <w:rPr>
          <w:rFonts w:hint="eastAsia"/>
        </w:rPr>
        <w:t>教育/服务</w:t>
      </w:r>
      <w:r>
        <w:t>的评价</w:t>
      </w:r>
      <w:bookmarkEnd w:id="24"/>
    </w:p>
    <w:p>
      <w:pPr>
        <w:pStyle w:val="142"/>
        <w:rPr>
          <w:color w:val="4472C4" w:themeColor="accent1"/>
          <w14:textFill>
            <w14:solidFill>
              <w14:schemeClr w14:val="accent1"/>
            </w14:solidFill>
          </w14:textFill>
        </w:rPr>
      </w:pPr>
      <w:bookmarkStart w:id="25" w:name="_Toc27601806"/>
      <w:r>
        <w:rPr>
          <w:rFonts w:hint="eastAsia"/>
          <w:color w:val="4472C4" w:themeColor="accent1"/>
          <w14:textFill>
            <w14:solidFill>
              <w14:schemeClr w14:val="accent1"/>
            </w14:solidFill>
          </w14:textFill>
        </w:rPr>
        <w:t>六、对创业服务的评价</w:t>
      </w:r>
      <w:bookmarkEnd w:id="25"/>
    </w:p>
    <w:p>
      <w:pPr>
        <w:pStyle w:val="64"/>
        <w:spacing w:before="156" w:after="156"/>
        <w:rPr>
          <w:rFonts w:ascii="Times New Roman" w:hAnsi="Times New Roman" w:cstheme="minorBidi"/>
          <w:szCs w:val="24"/>
          <w:lang w:val="en-US"/>
        </w:rPr>
      </w:pPr>
      <w:r>
        <w:rPr>
          <w:rFonts w:ascii="Times New Roman" w:hAnsi="Times New Roman" w:cstheme="minorBidi"/>
          <w:szCs w:val="24"/>
          <w:lang w:val="en-US"/>
        </w:rPr>
        <w:t>2019</w:t>
      </w:r>
      <w:r>
        <w:rPr>
          <w:rFonts w:hint="eastAsia" w:ascii="Times New Roman" w:hAnsi="Times New Roman" w:cstheme="minorBidi"/>
          <w:szCs w:val="24"/>
          <w:lang w:val="en-US"/>
        </w:rPr>
        <w:t>届</w:t>
      </w:r>
      <w:r>
        <w:rPr>
          <w:rFonts w:ascii="Times New Roman" w:hAnsi="Times New Roman" w:cstheme="minorBidi"/>
          <w:szCs w:val="24"/>
          <w:lang w:val="en-US"/>
        </w:rPr>
        <w:t>毕业生对母校各项</w:t>
      </w:r>
      <w:r>
        <w:rPr>
          <w:rFonts w:hint="eastAsia" w:ascii="Times New Roman" w:hAnsi="Times New Roman" w:cstheme="minorBidi"/>
          <w:szCs w:val="24"/>
          <w:lang w:val="en-US"/>
        </w:rPr>
        <w:t>创业教育/</w:t>
      </w:r>
      <w:r>
        <w:rPr>
          <w:rFonts w:ascii="Times New Roman" w:hAnsi="Times New Roman" w:cstheme="minorBidi"/>
          <w:szCs w:val="24"/>
          <w:lang w:val="en-US"/>
        </w:rPr>
        <w:t>服务的</w:t>
      </w:r>
      <w:r>
        <w:rPr>
          <w:rFonts w:hint="eastAsia" w:ascii="Times New Roman" w:hAnsi="Times New Roman" w:cstheme="minorBidi"/>
          <w:szCs w:val="24"/>
          <w:lang w:val="en-US"/>
        </w:rPr>
        <w:t>满意度</w:t>
      </w:r>
      <w:r>
        <w:rPr>
          <w:rFonts w:ascii="Times New Roman" w:hAnsi="Times New Roman" w:cstheme="minorBidi"/>
          <w:szCs w:val="24"/>
          <w:lang w:val="en-US"/>
        </w:rPr>
        <w:t>均</w:t>
      </w:r>
      <w:r>
        <w:rPr>
          <w:rFonts w:hint="eastAsia" w:ascii="Times New Roman" w:hAnsi="Times New Roman" w:cstheme="minorBidi"/>
          <w:szCs w:val="24"/>
          <w:lang w:val="en-US"/>
        </w:rPr>
        <w:t>在</w:t>
      </w:r>
      <w:r>
        <w:rPr>
          <w:rFonts w:ascii="Times New Roman" w:hAnsi="Times New Roman" w:cstheme="minorBidi"/>
          <w:szCs w:val="24"/>
          <w:lang w:val="en-US"/>
        </w:rPr>
        <w:t>72.00%</w:t>
      </w:r>
      <w:r>
        <w:rPr>
          <w:rFonts w:hint="eastAsia" w:ascii="Times New Roman" w:hAnsi="Times New Roman" w:cstheme="minorBidi"/>
          <w:szCs w:val="24"/>
          <w:lang w:val="en-US"/>
        </w:rPr>
        <w:t>以上，其中满意度</w:t>
      </w:r>
      <w:r>
        <w:rPr>
          <w:rFonts w:ascii="Times New Roman" w:hAnsi="Times New Roman" w:cstheme="minorBidi"/>
          <w:szCs w:val="24"/>
          <w:lang w:val="en-US"/>
        </w:rPr>
        <w:t>最高的是</w:t>
      </w:r>
      <w:r>
        <w:rPr>
          <w:rFonts w:hint="eastAsia" w:ascii="Times New Roman" w:hAnsi="Times New Roman" w:cstheme="minorBidi"/>
          <w:szCs w:val="24"/>
          <w:lang w:val="en-US"/>
        </w:rPr>
        <w:t>“创新创业大赛”。2019届毕业生认为母校对创业场地的帮助度为76.97%，对创业资金筹措支持的帮助度为72.56%。</w:t>
      </w:r>
    </w:p>
    <w:p>
      <w:pPr>
        <w:pStyle w:val="64"/>
        <w:spacing w:before="156" w:after="156"/>
        <w:ind w:firstLine="0" w:firstLineChars="0"/>
        <w:jc w:val="center"/>
      </w:pPr>
      <w:r>
        <w:rPr>
          <w:rFonts w:hint="eastAsia"/>
          <w:lang w:val="en-US"/>
        </w:rPr>
        <w:drawing>
          <wp:inline distT="0" distB="0" distL="0" distR="0">
            <wp:extent cx="4733925" cy="2428875"/>
            <wp:effectExtent l="0" t="0" r="0" b="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pStyle w:val="203"/>
        <w:spacing w:before="0" w:beforeLines="0" w:after="0" w:afterLines="0"/>
      </w:pPr>
      <w:bookmarkStart w:id="26" w:name="_Toc27002290"/>
      <w:bookmarkStart w:id="27" w:name="_Toc525725771"/>
      <w:r>
        <w:t>图6  2019届毕业生对创业服务的评价</w:t>
      </w:r>
      <w:bookmarkEnd w:id="26"/>
      <w:bookmarkEnd w:id="27"/>
    </w:p>
    <w:p>
      <w:pPr>
        <w:pStyle w:val="199"/>
        <w:ind w:firstLine="480"/>
      </w:pPr>
    </w:p>
    <w:p>
      <w:pPr>
        <w:pStyle w:val="169"/>
        <w:spacing w:before="156" w:after="312"/>
      </w:pPr>
      <w:bookmarkStart w:id="28" w:name="_Toc27601807"/>
      <w:r>
        <w:rPr>
          <w:rFonts w:hint="eastAsia"/>
        </w:rPr>
        <w:t>第一篇：毕业生就业基本情况</w:t>
      </w:r>
      <w:bookmarkEnd w:id="9"/>
      <w:bookmarkEnd w:id="10"/>
      <w:bookmarkEnd w:id="28"/>
    </w:p>
    <w:p>
      <w:pPr>
        <w:pStyle w:val="142"/>
        <w:rPr>
          <w:color w:val="4472C4" w:themeColor="accent1"/>
          <w14:textFill>
            <w14:solidFill>
              <w14:schemeClr w14:val="accent1"/>
            </w14:solidFill>
          </w14:textFill>
        </w:rPr>
      </w:pPr>
      <w:bookmarkStart w:id="29" w:name="_Toc487790047"/>
      <w:bookmarkStart w:id="30" w:name="_Toc487789866"/>
      <w:bookmarkStart w:id="31" w:name="_Toc421112581"/>
      <w:bookmarkStart w:id="32" w:name="_Toc27601808"/>
      <w:bookmarkStart w:id="33" w:name="_Toc520328889"/>
      <w:r>
        <w:rPr>
          <w:rFonts w:hint="eastAsia"/>
          <w:color w:val="4472C4" w:themeColor="accent1"/>
          <w14:textFill>
            <w14:solidFill>
              <w14:schemeClr w14:val="accent1"/>
            </w14:solidFill>
          </w14:textFill>
        </w:rPr>
        <w:t>一、毕业生的规模和结构</w:t>
      </w:r>
      <w:bookmarkEnd w:id="29"/>
      <w:bookmarkEnd w:id="30"/>
      <w:bookmarkEnd w:id="31"/>
      <w:bookmarkEnd w:id="32"/>
      <w:bookmarkEnd w:id="33"/>
    </w:p>
    <w:p>
      <w:pPr>
        <w:pStyle w:val="152"/>
        <w:spacing w:after="120"/>
        <w:rPr>
          <w:color w:val="4472C4" w:themeColor="accent1"/>
          <w14:textFill>
            <w14:solidFill>
              <w14:schemeClr w14:val="accent1"/>
            </w14:solidFill>
          </w14:textFill>
        </w:rPr>
      </w:pPr>
      <w:bookmarkStart w:id="34" w:name="_Toc487790048"/>
      <w:bookmarkStart w:id="35" w:name="_Toc487789867"/>
      <w:bookmarkStart w:id="36" w:name="_Toc520328890"/>
      <w:bookmarkStart w:id="37" w:name="_Toc27601809"/>
      <w:r>
        <w:rPr>
          <w:rFonts w:hint="eastAsia"/>
          <w:color w:val="4472C4" w:themeColor="accent1"/>
          <w14:textFill>
            <w14:solidFill>
              <w14:schemeClr w14:val="accent1"/>
            </w14:solidFill>
          </w14:textFill>
        </w:rPr>
        <w:t>（一）总体规模</w:t>
      </w:r>
      <w:bookmarkEnd w:id="34"/>
      <w:bookmarkEnd w:id="35"/>
      <w:bookmarkEnd w:id="36"/>
      <w:bookmarkEnd w:id="37"/>
    </w:p>
    <w:p>
      <w:pPr>
        <w:pStyle w:val="199"/>
        <w:spacing w:before="156" w:beforeLines="50" w:after="156" w:afterLines="50"/>
        <w:ind w:firstLine="480"/>
        <w:rPr>
          <w:rStyle w:val="40"/>
          <w:color w:val="000000"/>
          <w:u w:val="none"/>
        </w:rPr>
      </w:pPr>
      <w:bookmarkStart w:id="38" w:name="_Toc408233642"/>
      <w:bookmarkStart w:id="39" w:name="_Toc408233532"/>
      <w:bookmarkStart w:id="40" w:name="_Toc408233738"/>
      <w:bookmarkStart w:id="41" w:name="_Toc393891185"/>
      <w:bookmarkStart w:id="42" w:name="_Toc435780384"/>
      <w:r>
        <w:rPr>
          <w:rStyle w:val="40"/>
          <w:rFonts w:hint="eastAsia"/>
          <w:color w:val="000000"/>
          <w:u w:val="none"/>
        </w:rPr>
        <w:t>皖西学院</w:t>
      </w:r>
      <w:r>
        <w:rPr>
          <w:rStyle w:val="40"/>
          <w:color w:val="000000"/>
          <w:u w:val="none"/>
        </w:rPr>
        <w:t>2019届毕业生共</w:t>
      </w:r>
      <w:r>
        <w:rPr>
          <w:rStyle w:val="40"/>
          <w:rFonts w:hint="eastAsia"/>
          <w:color w:val="000000"/>
          <w:u w:val="none"/>
        </w:rPr>
        <w:t>5111</w:t>
      </w:r>
      <w:r>
        <w:rPr>
          <w:rStyle w:val="40"/>
          <w:color w:val="000000"/>
          <w:u w:val="none"/>
        </w:rPr>
        <w:t>人。其中，男生</w:t>
      </w:r>
      <w:r>
        <w:rPr>
          <w:rStyle w:val="40"/>
          <w:rFonts w:hint="eastAsia"/>
          <w:color w:val="000000"/>
          <w:u w:val="none"/>
        </w:rPr>
        <w:t>2</w:t>
      </w:r>
      <w:r>
        <w:rPr>
          <w:rStyle w:val="40"/>
          <w:color w:val="000000"/>
          <w:u w:val="none"/>
        </w:rPr>
        <w:t>684人，占毕业生总人数的52.51%；女生2427人，占毕业生总人数的47.49%，男女性别比为</w:t>
      </w:r>
      <w:r>
        <w:rPr>
          <w:rStyle w:val="40"/>
          <w:rFonts w:hint="eastAsia"/>
          <w:color w:val="000000"/>
          <w:u w:val="none"/>
        </w:rPr>
        <w:t>1</w:t>
      </w:r>
      <w:r>
        <w:rPr>
          <w:rStyle w:val="40"/>
          <w:color w:val="000000"/>
          <w:u w:val="none"/>
        </w:rPr>
        <w:t>.11:1，</w:t>
      </w:r>
      <w:r>
        <w:rPr>
          <w:rStyle w:val="40"/>
          <w:rFonts w:hint="eastAsia"/>
          <w:color w:val="000000"/>
          <w:u w:val="none"/>
        </w:rPr>
        <w:t>男生</w:t>
      </w:r>
      <w:r>
        <w:rPr>
          <w:rStyle w:val="40"/>
          <w:color w:val="000000"/>
          <w:u w:val="none"/>
        </w:rPr>
        <w:t>比例偏高；省内生源为主，共</w:t>
      </w:r>
      <w:r>
        <w:rPr>
          <w:rStyle w:val="40"/>
          <w:rFonts w:hint="eastAsia"/>
          <w:color w:val="000000"/>
          <w:u w:val="none"/>
        </w:rPr>
        <w:t>4</w:t>
      </w:r>
      <w:r>
        <w:rPr>
          <w:rStyle w:val="40"/>
          <w:color w:val="000000"/>
          <w:u w:val="none"/>
        </w:rPr>
        <w:t>969人，占比为97.22%。</w:t>
      </w:r>
    </w:p>
    <w:p>
      <w:pPr>
        <w:pStyle w:val="199"/>
        <w:ind w:firstLine="420"/>
      </w:pPr>
      <w:r>
        <w:rPr>
          <w:rFonts w:eastAsia="微软雅黑"/>
          <w:b/>
          <w:bCs/>
          <w:color w:val="ED7D31" w:themeColor="accent2"/>
          <w:sz w:val="21"/>
          <w:szCs w:val="21"/>
          <w14:textFill>
            <w14:solidFill>
              <w14:schemeClr w14:val="accent2"/>
            </w14:solidFill>
          </w14:textFill>
        </w:rPr>
        <mc:AlternateContent>
          <mc:Choice Requires="wpg">
            <w:drawing>
              <wp:anchor distT="0" distB="0" distL="114300" distR="114300" simplePos="0" relativeHeight="251936768" behindDoc="0" locked="0" layoutInCell="1" allowOverlap="1">
                <wp:simplePos x="0" y="0"/>
                <wp:positionH relativeFrom="page">
                  <wp:posOffset>1847850</wp:posOffset>
                </wp:positionH>
                <wp:positionV relativeFrom="paragraph">
                  <wp:posOffset>294005</wp:posOffset>
                </wp:positionV>
                <wp:extent cx="3987165" cy="1647190"/>
                <wp:effectExtent l="0" t="0" r="0" b="10160"/>
                <wp:wrapNone/>
                <wp:docPr id="127" name="组合 2087"/>
                <wp:cNvGraphicFramePr/>
                <a:graphic xmlns:a="http://schemas.openxmlformats.org/drawingml/2006/main">
                  <a:graphicData uri="http://schemas.microsoft.com/office/word/2010/wordprocessingGroup">
                    <wpg:wgp>
                      <wpg:cNvGrpSpPr/>
                      <wpg:grpSpPr>
                        <a:xfrm>
                          <a:off x="0" y="0"/>
                          <a:ext cx="3987165" cy="1647190"/>
                          <a:chOff x="0" y="0"/>
                          <a:chExt cx="3987614" cy="1647740"/>
                        </a:xfrm>
                      </wpg:grpSpPr>
                      <wpg:grpSp>
                        <wpg:cNvPr id="1120" name="组合 1120"/>
                        <wpg:cNvGrpSpPr/>
                        <wpg:grpSpPr>
                          <a:xfrm>
                            <a:off x="0" y="0"/>
                            <a:ext cx="3987614" cy="1647740"/>
                            <a:chOff x="0" y="0"/>
                            <a:chExt cx="3987614" cy="1647740"/>
                          </a:xfrm>
                        </wpg:grpSpPr>
                        <pic:pic xmlns:pic="http://schemas.openxmlformats.org/drawingml/2006/picture">
                          <pic:nvPicPr>
                            <pic:cNvPr id="1121" name="图片 112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039454" y="0"/>
                              <a:ext cx="948160" cy="966470"/>
                            </a:xfrm>
                            <a:prstGeom prst="rect">
                              <a:avLst/>
                            </a:prstGeom>
                          </pic:spPr>
                        </pic:pic>
                        <wpg:grpSp>
                          <wpg:cNvPr id="1122" name="组合 1122"/>
                          <wpg:cNvGrpSpPr/>
                          <wpg:grpSpPr>
                            <a:xfrm>
                              <a:off x="0" y="174563"/>
                              <a:ext cx="3897313" cy="1473177"/>
                              <a:chOff x="0" y="174563"/>
                              <a:chExt cx="3897313" cy="1473177"/>
                            </a:xfrm>
                          </wpg:grpSpPr>
                          <wpg:grpSp>
                            <wpg:cNvPr id="1123" name="组合 1123"/>
                            <wpg:cNvGrpSpPr/>
                            <wpg:grpSpPr>
                              <a:xfrm>
                                <a:off x="0" y="241215"/>
                                <a:ext cx="3897313" cy="1406525"/>
                                <a:chOff x="0" y="241215"/>
                                <a:chExt cx="3897313" cy="1406525"/>
                              </a:xfrm>
                            </wpg:grpSpPr>
                            <wpg:grpSp>
                              <wpg:cNvPr id="1125" name="组合 1125"/>
                              <wpg:cNvGrpSpPr/>
                              <wpg:grpSpPr>
                                <a:xfrm>
                                  <a:off x="0" y="241215"/>
                                  <a:ext cx="647700" cy="1003300"/>
                                  <a:chOff x="0" y="241215"/>
                                  <a:chExt cx="596993" cy="983651"/>
                                </a:xfrm>
                              </wpg:grpSpPr>
                              <wps:wsp>
                                <wps:cNvPr id="1126" name="椭圆 1126"/>
                                <wps:cNvSpPr/>
                                <wps:spPr>
                                  <a:xfrm>
                                    <a:off x="89573" y="241215"/>
                                    <a:ext cx="386367" cy="386367"/>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7" name="任意多边形 51"/>
                                <wps:cNvSpPr/>
                                <wps:spPr>
                                  <a:xfrm>
                                    <a:off x="0" y="647127"/>
                                    <a:ext cx="596993" cy="577739"/>
                                  </a:xfrm>
                                  <a:custGeom>
                                    <a:avLst/>
                                    <a:gdLst>
                                      <a:gd name="connsiteX0" fmla="*/ 96292 w 596993"/>
                                      <a:gd name="connsiteY0" fmla="*/ 0 h 577739"/>
                                      <a:gd name="connsiteX1" fmla="*/ 98873 w 596993"/>
                                      <a:gd name="connsiteY1" fmla="*/ 0 h 577739"/>
                                      <a:gd name="connsiteX2" fmla="*/ 296418 w 596993"/>
                                      <a:gd name="connsiteY2" fmla="*/ 320162 h 577739"/>
                                      <a:gd name="connsiteX3" fmla="*/ 493962 w 596993"/>
                                      <a:gd name="connsiteY3" fmla="*/ 0 h 577739"/>
                                      <a:gd name="connsiteX4" fmla="*/ 500701 w 596993"/>
                                      <a:gd name="connsiteY4" fmla="*/ 0 h 577739"/>
                                      <a:gd name="connsiteX5" fmla="*/ 596993 w 596993"/>
                                      <a:gd name="connsiteY5" fmla="*/ 96292 h 577739"/>
                                      <a:gd name="connsiteX6" fmla="*/ 596993 w 596993"/>
                                      <a:gd name="connsiteY6" fmla="*/ 481447 h 577739"/>
                                      <a:gd name="connsiteX7" fmla="*/ 500701 w 596993"/>
                                      <a:gd name="connsiteY7" fmla="*/ 577739 h 577739"/>
                                      <a:gd name="connsiteX8" fmla="*/ 96292 w 596993"/>
                                      <a:gd name="connsiteY8" fmla="*/ 577739 h 577739"/>
                                      <a:gd name="connsiteX9" fmla="*/ 0 w 596993"/>
                                      <a:gd name="connsiteY9" fmla="*/ 481447 h 577739"/>
                                      <a:gd name="connsiteX10" fmla="*/ 0 w 596993"/>
                                      <a:gd name="connsiteY10" fmla="*/ 96292 h 577739"/>
                                      <a:gd name="connsiteX11" fmla="*/ 96292 w 596993"/>
                                      <a:gd name="connsiteY11" fmla="*/ 0 h 57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96993" h="577739">
                                        <a:moveTo>
                                          <a:pt x="96292" y="0"/>
                                        </a:moveTo>
                                        <a:lnTo>
                                          <a:pt x="98873" y="0"/>
                                        </a:lnTo>
                                        <a:lnTo>
                                          <a:pt x="296418" y="320162"/>
                                        </a:lnTo>
                                        <a:lnTo>
                                          <a:pt x="493962" y="0"/>
                                        </a:lnTo>
                                        <a:lnTo>
                                          <a:pt x="500701" y="0"/>
                                        </a:lnTo>
                                        <a:cubicBezTo>
                                          <a:pt x="553882" y="0"/>
                                          <a:pt x="596993" y="43111"/>
                                          <a:pt x="596993" y="96292"/>
                                        </a:cubicBezTo>
                                        <a:lnTo>
                                          <a:pt x="596993" y="481447"/>
                                        </a:lnTo>
                                        <a:cubicBezTo>
                                          <a:pt x="596993" y="534628"/>
                                          <a:pt x="553882" y="577739"/>
                                          <a:pt x="500701" y="577739"/>
                                        </a:cubicBezTo>
                                        <a:lnTo>
                                          <a:pt x="96292" y="577739"/>
                                        </a:lnTo>
                                        <a:cubicBezTo>
                                          <a:pt x="43111" y="577739"/>
                                          <a:pt x="0" y="534628"/>
                                          <a:pt x="0" y="481447"/>
                                        </a:cubicBezTo>
                                        <a:lnTo>
                                          <a:pt x="0" y="96292"/>
                                        </a:lnTo>
                                        <a:cubicBezTo>
                                          <a:pt x="0" y="43111"/>
                                          <a:pt x="43111" y="0"/>
                                          <a:pt x="96292" y="0"/>
                                        </a:cubicBez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128" name="组合 1128"/>
                                <wpg:cNvGrpSpPr/>
                                <wpg:grpSpPr>
                                  <a:xfrm>
                                    <a:off x="170143" y="625774"/>
                                    <a:ext cx="256705" cy="116761"/>
                                    <a:chOff x="170143" y="625774"/>
                                    <a:chExt cx="412997" cy="230928"/>
                                  </a:xfrm>
                                </wpg:grpSpPr>
                                <wps:wsp>
                                  <wps:cNvPr id="1129" name="等腰三角形 1129"/>
                                  <wps:cNvSpPr/>
                                  <wps:spPr>
                                    <a:xfrm rot="5400000">
                                      <a:off x="170589" y="625328"/>
                                      <a:ext cx="230928" cy="231819"/>
                                    </a:xfrm>
                                    <a:prstGeom prs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0" name="等腰三角形 1130"/>
                                  <wps:cNvSpPr/>
                                  <wps:spPr>
                                    <a:xfrm rot="16200000" flipH="1">
                                      <a:off x="351767" y="625328"/>
                                      <a:ext cx="230928" cy="231819"/>
                                    </a:xfrm>
                                    <a:prstGeom prs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131" name="组合 1131"/>
                              <wpg:cNvGrpSpPr/>
                              <wpg:grpSpPr>
                                <a:xfrm>
                                  <a:off x="966788" y="241215"/>
                                  <a:ext cx="647700" cy="1003300"/>
                                  <a:chOff x="966788" y="241215"/>
                                  <a:chExt cx="596993" cy="983650"/>
                                </a:xfrm>
                              </wpg:grpSpPr>
                              <wps:wsp>
                                <wps:cNvPr id="1132" name="椭圆 1132"/>
                                <wps:cNvSpPr/>
                                <wps:spPr>
                                  <a:xfrm>
                                    <a:off x="1051817" y="241215"/>
                                    <a:ext cx="386367" cy="386367"/>
                                  </a:xfrm>
                                  <a:prstGeom prst="ellipse">
                                    <a:avLst/>
                                  </a:prstGeom>
                                  <a:solidFill>
                                    <a:srgbClr val="FFAFA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133" name="组合 1133"/>
                                <wpg:cNvGrpSpPr/>
                                <wpg:grpSpPr>
                                  <a:xfrm>
                                    <a:off x="1120786" y="613987"/>
                                    <a:ext cx="277988" cy="115609"/>
                                    <a:chOff x="1120786" y="613987"/>
                                    <a:chExt cx="411650" cy="183610"/>
                                  </a:xfrm>
                                </wpg:grpSpPr>
                                <wps:wsp>
                                  <wps:cNvPr id="1134" name="椭圆 1134"/>
                                  <wps:cNvSpPr/>
                                  <wps:spPr>
                                    <a:xfrm>
                                      <a:off x="1120786" y="626867"/>
                                      <a:ext cx="105279" cy="105279"/>
                                    </a:xfrm>
                                    <a:prstGeom prst="ellipse">
                                      <a:avLst/>
                                    </a:prstGeom>
                                    <a:solidFill>
                                      <a:srgbClr val="FCB0A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5" name="椭圆 1135"/>
                                  <wps:cNvSpPr/>
                                  <wps:spPr>
                                    <a:xfrm>
                                      <a:off x="1214076" y="692318"/>
                                      <a:ext cx="105279" cy="105279"/>
                                    </a:xfrm>
                                    <a:prstGeom prst="ellipse">
                                      <a:avLst/>
                                    </a:prstGeom>
                                    <a:solidFill>
                                      <a:srgbClr val="FCB0A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6" name="椭圆 1136"/>
                                  <wps:cNvSpPr/>
                                  <wps:spPr>
                                    <a:xfrm>
                                      <a:off x="1334757" y="692317"/>
                                      <a:ext cx="105279" cy="105279"/>
                                    </a:xfrm>
                                    <a:prstGeom prst="ellipse">
                                      <a:avLst/>
                                    </a:prstGeom>
                                    <a:solidFill>
                                      <a:srgbClr val="FCB0A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7" name="椭圆 1137"/>
                                  <wps:cNvSpPr/>
                                  <wps:spPr>
                                    <a:xfrm>
                                      <a:off x="1427157" y="613987"/>
                                      <a:ext cx="105279" cy="105279"/>
                                    </a:xfrm>
                                    <a:prstGeom prst="ellipse">
                                      <a:avLst/>
                                    </a:prstGeom>
                                    <a:solidFill>
                                      <a:srgbClr val="FCB0A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138" name="任意多边形 896"/>
                                <wps:cNvSpPr/>
                                <wps:spPr>
                                  <a:xfrm>
                                    <a:off x="966788" y="647126"/>
                                    <a:ext cx="596993" cy="577739"/>
                                  </a:xfrm>
                                  <a:custGeom>
                                    <a:avLst/>
                                    <a:gdLst>
                                      <a:gd name="connsiteX0" fmla="*/ 96292 w 596993"/>
                                      <a:gd name="connsiteY0" fmla="*/ 0 h 577739"/>
                                      <a:gd name="connsiteX1" fmla="*/ 98873 w 596993"/>
                                      <a:gd name="connsiteY1" fmla="*/ 0 h 577739"/>
                                      <a:gd name="connsiteX2" fmla="*/ 296418 w 596993"/>
                                      <a:gd name="connsiteY2" fmla="*/ 320162 h 577739"/>
                                      <a:gd name="connsiteX3" fmla="*/ 493962 w 596993"/>
                                      <a:gd name="connsiteY3" fmla="*/ 0 h 577739"/>
                                      <a:gd name="connsiteX4" fmla="*/ 500701 w 596993"/>
                                      <a:gd name="connsiteY4" fmla="*/ 0 h 577739"/>
                                      <a:gd name="connsiteX5" fmla="*/ 596993 w 596993"/>
                                      <a:gd name="connsiteY5" fmla="*/ 96292 h 577739"/>
                                      <a:gd name="connsiteX6" fmla="*/ 596993 w 596993"/>
                                      <a:gd name="connsiteY6" fmla="*/ 101375 h 577739"/>
                                      <a:gd name="connsiteX7" fmla="*/ 580931 w 596993"/>
                                      <a:gd name="connsiteY7" fmla="*/ 133472 h 577739"/>
                                      <a:gd name="connsiteX8" fmla="*/ 496600 w 596993"/>
                                      <a:gd name="connsiteY8" fmla="*/ 404846 h 577739"/>
                                      <a:gd name="connsiteX9" fmla="*/ 530218 w 596993"/>
                                      <a:gd name="connsiteY9" fmla="*/ 447833 h 577739"/>
                                      <a:gd name="connsiteX10" fmla="*/ 594250 w 596993"/>
                                      <a:gd name="connsiteY10" fmla="*/ 495033 h 577739"/>
                                      <a:gd name="connsiteX11" fmla="*/ 589426 w 596993"/>
                                      <a:gd name="connsiteY11" fmla="*/ 518928 h 577739"/>
                                      <a:gd name="connsiteX12" fmla="*/ 500701 w 596993"/>
                                      <a:gd name="connsiteY12" fmla="*/ 577739 h 577739"/>
                                      <a:gd name="connsiteX13" fmla="*/ 96292 w 596993"/>
                                      <a:gd name="connsiteY13" fmla="*/ 577739 h 577739"/>
                                      <a:gd name="connsiteX14" fmla="*/ 7567 w 596993"/>
                                      <a:gd name="connsiteY14" fmla="*/ 518928 h 577739"/>
                                      <a:gd name="connsiteX15" fmla="*/ 1283 w 596993"/>
                                      <a:gd name="connsiteY15" fmla="*/ 487800 h 577739"/>
                                      <a:gd name="connsiteX16" fmla="*/ 59726 w 596993"/>
                                      <a:gd name="connsiteY16" fmla="*/ 444720 h 577739"/>
                                      <a:gd name="connsiteX17" fmla="*/ 93344 w 596993"/>
                                      <a:gd name="connsiteY17" fmla="*/ 401733 h 577739"/>
                                      <a:gd name="connsiteX18" fmla="*/ 9012 w 596993"/>
                                      <a:gd name="connsiteY18" fmla="*/ 130359 h 577739"/>
                                      <a:gd name="connsiteX19" fmla="*/ 0 w 596993"/>
                                      <a:gd name="connsiteY19" fmla="*/ 112350 h 577739"/>
                                      <a:gd name="connsiteX20" fmla="*/ 0 w 596993"/>
                                      <a:gd name="connsiteY20" fmla="*/ 96292 h 577739"/>
                                      <a:gd name="connsiteX21" fmla="*/ 96292 w 596993"/>
                                      <a:gd name="connsiteY21" fmla="*/ 0 h 57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596993" h="577739">
                                        <a:moveTo>
                                          <a:pt x="96292" y="0"/>
                                        </a:moveTo>
                                        <a:lnTo>
                                          <a:pt x="98873" y="0"/>
                                        </a:lnTo>
                                        <a:lnTo>
                                          <a:pt x="296418" y="320162"/>
                                        </a:lnTo>
                                        <a:lnTo>
                                          <a:pt x="493962" y="0"/>
                                        </a:lnTo>
                                        <a:lnTo>
                                          <a:pt x="500701" y="0"/>
                                        </a:lnTo>
                                        <a:cubicBezTo>
                                          <a:pt x="553882" y="0"/>
                                          <a:pt x="596993" y="43111"/>
                                          <a:pt x="596993" y="96292"/>
                                        </a:cubicBezTo>
                                        <a:lnTo>
                                          <a:pt x="596993" y="101375"/>
                                        </a:lnTo>
                                        <a:lnTo>
                                          <a:pt x="580931" y="133472"/>
                                        </a:lnTo>
                                        <a:cubicBezTo>
                                          <a:pt x="523164" y="257685"/>
                                          <a:pt x="484526" y="369798"/>
                                          <a:pt x="496600" y="404846"/>
                                        </a:cubicBezTo>
                                        <a:cubicBezTo>
                                          <a:pt x="500624" y="416529"/>
                                          <a:pt x="512497" y="431542"/>
                                          <a:pt x="530218" y="447833"/>
                                        </a:cubicBezTo>
                                        <a:lnTo>
                                          <a:pt x="594250" y="495033"/>
                                        </a:lnTo>
                                        <a:lnTo>
                                          <a:pt x="589426" y="518928"/>
                                        </a:lnTo>
                                        <a:cubicBezTo>
                                          <a:pt x="574808" y="553489"/>
                                          <a:pt x="540587" y="577739"/>
                                          <a:pt x="500701" y="577739"/>
                                        </a:cubicBezTo>
                                        <a:lnTo>
                                          <a:pt x="96292" y="577739"/>
                                        </a:lnTo>
                                        <a:cubicBezTo>
                                          <a:pt x="56407" y="577739"/>
                                          <a:pt x="22185" y="553489"/>
                                          <a:pt x="7567" y="518928"/>
                                        </a:cubicBezTo>
                                        <a:lnTo>
                                          <a:pt x="1283" y="487800"/>
                                        </a:lnTo>
                                        <a:lnTo>
                                          <a:pt x="59726" y="444720"/>
                                        </a:lnTo>
                                        <a:cubicBezTo>
                                          <a:pt x="77447" y="428429"/>
                                          <a:pt x="89319" y="413416"/>
                                          <a:pt x="93344" y="401733"/>
                                        </a:cubicBezTo>
                                        <a:cubicBezTo>
                                          <a:pt x="105417" y="366686"/>
                                          <a:pt x="66780" y="254572"/>
                                          <a:pt x="9012" y="130359"/>
                                        </a:cubicBezTo>
                                        <a:lnTo>
                                          <a:pt x="0" y="112350"/>
                                        </a:lnTo>
                                        <a:lnTo>
                                          <a:pt x="0" y="96292"/>
                                        </a:lnTo>
                                        <a:cubicBezTo>
                                          <a:pt x="0" y="43111"/>
                                          <a:pt x="43111" y="0"/>
                                          <a:pt x="96292" y="0"/>
                                        </a:cubicBezTo>
                                        <a:close/>
                                      </a:path>
                                    </a:pathLst>
                                  </a:custGeom>
                                  <a:solidFill>
                                    <a:srgbClr val="FFAFA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39" name="组合 1139"/>
                              <wpg:cNvGrpSpPr/>
                              <wpg:grpSpPr>
                                <a:xfrm>
                                  <a:off x="0" y="1525489"/>
                                  <a:ext cx="647700" cy="122237"/>
                                  <a:chOff x="0" y="1525502"/>
                                  <a:chExt cx="601244" cy="118364"/>
                                </a:xfrm>
                                <a:solidFill>
                                  <a:schemeClr val="accent1"/>
                                </a:solidFill>
                              </wpg:grpSpPr>
                              <wps:wsp>
                                <wps:cNvPr id="1140" name="矩形 1140"/>
                                <wps:cNvSpPr/>
                                <wps:spPr>
                                  <a:xfrm>
                                    <a:off x="0" y="1593383"/>
                                    <a:ext cx="601244" cy="50483"/>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1" name="等腰三角形 1141"/>
                                <wps:cNvSpPr/>
                                <wps:spPr>
                                  <a:xfrm>
                                    <a:off x="239271" y="1525502"/>
                                    <a:ext cx="103909" cy="71686"/>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42" name="组合 1142"/>
                              <wpg:cNvGrpSpPr/>
                              <wpg:grpSpPr>
                                <a:xfrm>
                                  <a:off x="965200" y="1523915"/>
                                  <a:ext cx="647700" cy="123825"/>
                                  <a:chOff x="965200" y="1523915"/>
                                  <a:chExt cx="601244" cy="118364"/>
                                </a:xfrm>
                                <a:solidFill>
                                  <a:srgbClr val="FFAFAF"/>
                                </a:solidFill>
                              </wpg:grpSpPr>
                              <wps:wsp>
                                <wps:cNvPr id="1143" name="矩形 1143"/>
                                <wps:cNvSpPr/>
                                <wps:spPr>
                                  <a:xfrm>
                                    <a:off x="965200" y="1591796"/>
                                    <a:ext cx="601244" cy="50483"/>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4" name="等腰三角形 1144"/>
                                <wps:cNvSpPr/>
                                <wps:spPr>
                                  <a:xfrm>
                                    <a:off x="1204471" y="1523915"/>
                                    <a:ext cx="103909" cy="71686"/>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45" name="组合 1145"/>
                              <wpg:cNvGrpSpPr/>
                              <wpg:grpSpPr>
                                <a:xfrm>
                                  <a:off x="2254250" y="1520740"/>
                                  <a:ext cx="1643063" cy="123825"/>
                                  <a:chOff x="2254250" y="1520740"/>
                                  <a:chExt cx="1525589" cy="108972"/>
                                </a:xfrm>
                              </wpg:grpSpPr>
                              <wpg:grpSp>
                                <wpg:cNvPr id="1146" name="组合 1146"/>
                                <wpg:cNvGrpSpPr/>
                                <wpg:grpSpPr>
                                  <a:xfrm>
                                    <a:off x="2254250" y="1522363"/>
                                    <a:ext cx="601217" cy="107349"/>
                                    <a:chOff x="2254250" y="1522363"/>
                                    <a:chExt cx="601244" cy="118364"/>
                                  </a:xfrm>
                                  <a:solidFill>
                                    <a:schemeClr val="accent1"/>
                                  </a:solidFill>
                                </wpg:grpSpPr>
                                <wps:wsp>
                                  <wps:cNvPr id="1147" name="矩形 1147"/>
                                  <wps:cNvSpPr/>
                                  <wps:spPr>
                                    <a:xfrm>
                                      <a:off x="2254250" y="1590244"/>
                                      <a:ext cx="601244" cy="50483"/>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8" name="等腰三角形 1148"/>
                                  <wps:cNvSpPr/>
                                  <wps:spPr>
                                    <a:xfrm>
                                      <a:off x="2493521" y="1522363"/>
                                      <a:ext cx="103909" cy="71686"/>
                                    </a:xfrm>
                                    <a:prstGeom prst="triangl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49" name="组合 1149"/>
                                <wpg:cNvGrpSpPr/>
                                <wpg:grpSpPr>
                                  <a:xfrm>
                                    <a:off x="3178622" y="1520740"/>
                                    <a:ext cx="601217" cy="107349"/>
                                    <a:chOff x="3178622" y="1520740"/>
                                    <a:chExt cx="601244" cy="118364"/>
                                  </a:xfrm>
                                  <a:solidFill>
                                    <a:srgbClr val="FFAFAF"/>
                                  </a:solidFill>
                                </wpg:grpSpPr>
                                <wps:wsp>
                                  <wps:cNvPr id="1150" name="矩形 1150"/>
                                  <wps:cNvSpPr/>
                                  <wps:spPr>
                                    <a:xfrm>
                                      <a:off x="3178622" y="1588621"/>
                                      <a:ext cx="601244" cy="50483"/>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1" name="等腰三角形 1151"/>
                                  <wps:cNvSpPr/>
                                  <wps:spPr>
                                    <a:xfrm>
                                      <a:off x="3417893" y="1520740"/>
                                      <a:ext cx="103909" cy="71686"/>
                                    </a:xfrm>
                                    <a:prstGeom prst="triangl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pic:pic xmlns:pic="http://schemas.openxmlformats.org/drawingml/2006/picture">
                            <pic:nvPicPr>
                              <pic:cNvPr id="1184" name="图片 118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2165952" y="174563"/>
                                <a:ext cx="918000" cy="830106"/>
                              </a:xfrm>
                              <a:prstGeom prst="rect">
                                <a:avLst/>
                              </a:prstGeom>
                            </pic:spPr>
                          </pic:pic>
                        </wpg:grpSp>
                      </wpg:grpSp>
                      <wpg:grpSp>
                        <wpg:cNvPr id="1185" name="组合 1185"/>
                        <wpg:cNvGrpSpPr/>
                        <wpg:grpSpPr>
                          <a:xfrm>
                            <a:off x="2276067" y="867190"/>
                            <a:ext cx="1678406" cy="421467"/>
                            <a:chOff x="2276067" y="867190"/>
                            <a:chExt cx="1678406" cy="421467"/>
                          </a:xfrm>
                        </wpg:grpSpPr>
                        <wps:wsp>
                          <wps:cNvPr id="1190" name="文本框 87"/>
                          <wps:cNvSpPr txBox="1"/>
                          <wps:spPr>
                            <a:xfrm>
                              <a:off x="2276067" y="867190"/>
                              <a:ext cx="693420" cy="377326"/>
                            </a:xfrm>
                            <a:prstGeom prst="rect">
                              <a:avLst/>
                            </a:prstGeom>
                            <a:noFill/>
                            <a:ln>
                              <a:noFill/>
                            </a:ln>
                          </wps:spPr>
                          <wps:txbx>
                            <w:txbxContent>
                              <w:p>
                                <w:pPr>
                                  <w:rPr>
                                    <w:sz w:val="21"/>
                                    <w:szCs w:val="21"/>
                                  </w:rPr>
                                </w:pPr>
                                <w:r>
                                  <w:rPr>
                                    <w:rFonts w:hint="eastAsia" w:ascii="黑体" w:hAnsi="黑体" w:eastAsia="黑体" w:cstheme="minorBidi"/>
                                    <w:b/>
                                    <w:bCs/>
                                    <w:color w:val="00B0F0"/>
                                    <w:kern w:val="24"/>
                                    <w:sz w:val="28"/>
                                    <w:szCs w:val="28"/>
                                  </w:rPr>
                                  <w:t>省内</w:t>
                                </w:r>
                              </w:p>
                            </w:txbxContent>
                          </wps:txbx>
                          <wps:bodyPr wrap="square" rtlCol="0">
                            <a:noAutofit/>
                          </wps:bodyPr>
                        </wps:wsp>
                        <wps:wsp>
                          <wps:cNvPr id="1193" name="文本框 85"/>
                          <wps:cNvSpPr txBox="1"/>
                          <wps:spPr>
                            <a:xfrm>
                              <a:off x="3261687" y="867190"/>
                              <a:ext cx="692786" cy="421467"/>
                            </a:xfrm>
                            <a:prstGeom prst="rect">
                              <a:avLst/>
                            </a:prstGeom>
                            <a:noFill/>
                            <a:ln>
                              <a:noFill/>
                            </a:ln>
                          </wps:spPr>
                          <wps:txbx>
                            <w:txbxContent>
                              <w:p>
                                <w:pPr>
                                  <w:rPr>
                                    <w:sz w:val="28"/>
                                    <w:szCs w:val="28"/>
                                  </w:rPr>
                                </w:pPr>
                                <w:r>
                                  <w:rPr>
                                    <w:rFonts w:hint="eastAsia" w:ascii="黑体" w:hAnsi="黑体" w:eastAsia="黑体" w:cstheme="minorBidi"/>
                                    <w:b/>
                                    <w:bCs/>
                                    <w:color w:val="00B050"/>
                                    <w:kern w:val="24"/>
                                    <w:sz w:val="28"/>
                                    <w:szCs w:val="28"/>
                                  </w:rPr>
                                  <w:t>省外</w:t>
                                </w:r>
                              </w:p>
                            </w:txbxContent>
                          </wps:txbx>
                          <wps:bodyPr wrap="square" rtlCol="0">
                            <a:noAutofit/>
                          </wps:bodyPr>
                        </wps:wsp>
                      </wpg:grpSp>
                    </wpg:wgp>
                  </a:graphicData>
                </a:graphic>
              </wp:anchor>
            </w:drawing>
          </mc:Choice>
          <mc:Fallback>
            <w:pict>
              <v:group id="组合 2087" o:spid="_x0000_s1026" o:spt="203" style="position:absolute;left:0pt;margin-left:145.5pt;margin-top:23.15pt;height:129.7pt;width:313.95pt;mso-position-horizontal-relative:page;z-index:251936768;mso-width-relative:page;mso-height-relative:page;" coordsize="3987614,1647740" o:gfxdata="UEsDBAoAAAAAAIdO4kAAAAAAAAAAAAAAAAAEAAAAZHJzL1BLAwQUAAAACACHTuJA+n/cIdsAAAAK&#10;AQAADwAAAGRycy9kb3ducmV2LnhtbE2PwW7CMBBE75X6D9ZW6q3YJoWSNA6qUNsTQipUQtxMvCQR&#10;8TqKTQJ/X/fUHkczmnmTL6+2ZQP2vnGkQE4EMKTSmYYqBd+7j6cFMB80Gd06QgU39LAs7u9ynRk3&#10;0hcO21CxWEI+0wrqELqMc1/WaLWfuA4peifXWx2i7Ctuej3GctvyqRBzbnVDcaHWHa5qLM/bi1Xw&#10;OerxLZHvw/p8Wt0Ou9lmv5ao1OODFK/AAl7DXxh+8SM6FJHp6C5kPGsVTFMZvwQFz/MEWAykcpEC&#10;OypIxOwFeJHz/xeKH1BLAwQUAAAACACHTuJAVMA/hkIPAAD+XwAADgAAAGRycy9lMm9Eb2MueG1s&#10;7VxbjyNHFX5H4j+0/Ii0mb5fRpmNdmezASmCFQkSPPZ47LGF7Tbdnp0JiLeQkCcQDzxAJASKhJCI&#10;xCMoIr8mu8nP4DvnVHVXte3p9mbXkwlOtOO2u05dTp37OVWvv3E9nzlPR2U1LRYnA+81d+CMFsPi&#10;fLq4OBn85N3H99KBU63yxXk+Kxajk8F7o2rwxv3vfuf1q+XxyC8mxex8VDroZFEdXy1PBpPVanl8&#10;dFQNJ6N5Xr1WLEcLvBwX5Txf4Wt5cXRe5lfofT478l03ProqyvNlWQxHVYVfH8nLwX3ufzweDVc/&#10;Go+r0cqZnQwwtxX/LfnvGf09uv96fnxR5svJdKimkb/ALOb5dIFB664e5avcuSyna13Np8OyqIrx&#10;6rVhMT8qxuPpcMRrwGo8t7Wat8ricslruTi+uljWaAJqW3h64W6HP3z6pHSm59g7Pxk4i3yOTfry&#10;s/ef/f63ju+mCSHoanlxjHZvlct3lk9K9cOFfKM1X4/LOX1iNc41o/a9GrWj65UzxI9BliZeHA2c&#10;Id55cZh4mUL+cIIdWoMbTt40IGMvbCCTkCGP9MBHNL96OvWXV4wtzwc5Wejy6KeXiK5Ni86PXzK6&#10;ltPhMf4pZOFpjbS6WRBQq8tyBEKl3hZPn0yHT0r5YpCX53saYc/+/PmXH33oAGEeIYygqKGA5TSf&#10;t4vhzytnUZxO8sXF6EG1BCODbqj1kd2cv1pjns2my8fT2YxIkp7V2sD0LabZsDJhyEfF8HI+WqxE&#10;wpSjWb6CeKsm02U1cMrj0fxsBIYpf3DuMc+Dxt+uVjQcUTtz/a/89IHrZv7De6eRe3ovdJM37z3I&#10;wuRe4r4J+g1T79Q7/TVBe+HxZTXCevPZo+VUzRW/rs12I4srYSjCg4WQ8zRnUUeY4gnpT54ifiKU&#10;0FyrVTlaDSf0OAa2fgwMC0z9glHbYJPwXkEAEESL5QM3yMIIPLrO+BnWGoNViO+zGIxvMy92u6xW&#10;b42KuUMPwCrmwVjNn2LGMiPdRG2+TIJnhzmJfGL+f+Us72sKVhISFOy/MMt7SRjFAYEL4bCYTLMk&#10;8AIl7EI8JyyC1/jeBDZk5RbwW5eVWFFbVvLKX0i1+CEER3Qj4tw48lWLlsA0gbcirga/dcRBY7YR&#10;x+t6aYgDRyau4k/PdYMAX5gke+EtyuIsU+SapUEciYjWAqKtmmHjVVoeXy2rfjKOLLxN1tE7k3xJ&#10;SgcdsfpQZoznxxpnzz/59NnHH5CeiYVLuWFtxFTbxFmaRQkWBYllUkttyqRxEMNWIokWyLOIKS0U&#10;tbhSEm00g8StaKb58UahBllczKbnWmdV5cXZ6awUQR6GiX8a0uxBilaz2cK5YquNdy+H7TyGnsK0&#10;5ksop2pxMXDy2QWM8uGq5LEXBY3Ae0szfJRXExmDu5VNn09XMMdn0/nJIHXpPzXybIEJEKJF9tLT&#10;WXH+HkzHcjU7LcS4zhfDSQE1SwPShKkV9lt2aB8bXxuwX3z22fP3f/fskz999fl/nv33b46QpSKU&#10;7v0HO2BvyUiFTcwI03tv0nuUJEmQKQTpvR9eijYzNxtewbkyEC7OFTsPi8WiArJ/irHG8xl8ju8d&#10;OVnsZ75z5ahReOQ1iJ+ZEK4zcZp50EDt/mF0Nf2naRJ09m9CdPcPlVj372dx6KWdA5ggAdye2O9c&#10;BbixHiXMAiCqcxQTpHsZsF3qASLXTVyvcwATpHsACPJmAJaanQOYIEIaXZsNybfrICYITDXIm87N&#10;AJs1o/TDlQXCfNM5CgIH9Sj9GMOEEKboHCQzBnE7N8Rs3RNXns2tXbxtNe+3557Jr/0QZYHYpAst&#10;UwurfCIWOIzP64USYHhy4JKRf08ibllU5Lqb0gySU3+FqCI9wPDUugMYCzGBtSkBqB7AEComMJvl&#10;vUcWZV9Pm03T3sDi9tTAWln3mzZ43Jw223a9RwbvmsBs5PQGBkuawKzoegOD1UzgdKd9BhuZwFqF&#10;9kMYcYgJje870VibyCwqk/UrUidPlMKGMw4bwrKCaVMOnLOTwRkNCeLPV8Qh+pHMMW0fTPAo5gG9&#10;nRdPR+8W3G5F7MJcysvQk29azBZWS9LYVkv9Xn8uuUfRvNxQNKpCim6lP6W1aNAe3Yom3NhweHk2&#10;HT4c/dKcbRQFaSqMyAsDinh2GivYtzDwIH0Efe13gha1m1b39vTN7lhjtRa7cWrKUcEUoiCMfabY&#10;en7NvE1jSk2eNRzjoHlJhHLDDJsNtkD0MmxQtSeMGCLtBkTPT0h+fd7yu2gihQO7az2gDCHNTSzr&#10;9zaU2Xptv+QHmqe1xc2KNUnbfQ5nRTWSrSW2Ya1Q8w9js7GbLTfn2+gNqXD1Kw9XQUq3gwdM9zsG&#10;DzxYw6FIodgHdbKGa2JWfhQnLvQYR/a9OIkVf9cBhC3wTfQF8Zwsgz6iHvwAYVOtT8Srup0oArSU&#10;Qt6nH331m3998e+Pvvr7H8iZRDiBVdbN7qRTFohmRqF40ST7VXoE2IhSUYHAZqAlkfYw1foVLrzU&#10;0+pRe5it6MKqnMIemx3CC688rhRAfm6jCLyDcOtDEfB2hSScMcJC36ekhkEcQeQlFFsCIxyIo1br&#10;Xyf21AgP7kWJ3j0mDQJYnC0pjJ+YWnZKqyJ5kqRid2+KSnbHcbd00IhhbVdxqoaCuVqV36IYDmBO&#10;CvbqYC5+6uQ1g6U8N4IUFZ7ahDgVwt1POPfx4wf4XxG2ZefcqXDungyYAEZHm3VeJG0Eje0mqXjL&#10;sUelCLQDhgWTJBmxllgwUeyyzoWJr0sTtnXQ8E7ooboBCoK7AO/Ubult8g4iE23eYdvtZj1l8o6J&#10;OD9OoZosxIG3/AS2DK9anvEe5vwWY+VrpUIenz50H+gYx93lnb3kwALY4+2tV3nDnjkwpFhRtaB4&#10;JvMDT3nM2k49bD2be9+8LFiAPWtv/W7pTy8IwiRSViht/YHrj+9EAjTAnrW3nveuv8AP/cTTW79B&#10;Ux64fleuN/0P2oY95MGDOu7TzoOn2W6SwHAZOBvO0I3dZDoMTdTSUP+HbPghGw47e70qwUxtCxV1&#10;Jl9NEI42dyZ3oQjrDHLPQUwQz/WCJOocBTK3GSV1s6C7csAEYWXbXQABlq5HCcGWbne22gJByWkY&#10;d64Fpnw9ShS4fo9iDhMExQNpEHSOYiW5oyz0o+7FWDBhFqFQrXscMzOOmGvox51UZqXGEThALLp7&#10;HMQoGrT1K4jwLJh+FRFUF1qPIyzQWU9ggoiI7l6OWdiSILjfjTQToi/STH72/LRHXZIJEaYJCtS6&#10;12IydJQlfSjABAmp/q7HMCZHZzCfw26cmSCh6yV9CNpk6cz1uoug4LU1JOOhTDvKunFmsnQPzjSb&#10;I1ASgJu76pTo7ERNyd1DWM37yX46bFCP0I9XLBB7DTBpDlUxh6qYrgImMBsSN3UlkM5i9itsARuZ&#10;wDrt1w+Y1KMJXYcfe4LfWBXTXbglNR/1wqHcJAzYc3TJLTfgu1EanQ2z1r5bBRZOEtjgu9VgeVAX&#10;1ug6Qtlz7VADFjj761QQ0avqjeS7Bb4bzSG5bIPvRnUkl83R8X2XfSeBa4EfarE4eK6rcvTnWh2S&#10;RrNuYJfaqOZNTRM317VE2mcH4tdqe4x3rDL1bt5Q6WSAiL+kYPTU9KeaFPtHvOvi97Rab1wIApCx&#10;sDiKT+KU2VOvBl5NROc9sJogzpDFoQ7rl+wn8Us6chfWnGmtZ+OYOFnsy5gh8jpS76G7jTw/pGoV&#10;wWAUsrCrX7LXJC/ZG+qFQ3KBBIY9mxZW2jgkR4Zbi6ndar1xPUmYuiIqUKMXovzEQBNqVCJkxGg9&#10;TRCnXs9+qt+iGMmGLVPw4YaKjF6fO7kn66iwUWCjj1wNhhAPooU8uy07DNKY/YBWY3sYoXBUR4WK&#10;Nvw0tAknRWxABG7oBaArcxPYaZCh2BdQQ9lD2N9kQERkQ5XdDuIYKTqzVyoZEMLyozBKLEol/4EH&#10;FLdg44A2OqQnMfFVc91Af8qcpKEpQvT7TStQlN8uDL3VQsNvRZ7eDj3vK2cPCpccRH1GVg5J7Vh0&#10;qIgNxzhrcaVTj1api+/7SHuwOKvT9Q1s5CqabzL1Meg+hGyXZD9S9dpc1DlrK7Xcq/y0QTSdjt5T&#10;lB+3IGhE/+UfUpcoFyP0TvZoNEH2QCYyCmsUG0iKoDu1Ra5x1CpCvPnQNpznkk/k8xB3qtBlL/ma&#10;EHawYpm1UlO8A9Z6b6kfZEjgiVgH69Tkr/fVw0F9VLcw8eM+DtEWRsKmta99ikvv6N42PLvHWkDY&#10;inqn5YoVzxPzcUfhmMEmpWO/MNm8CHvePg1vS8ggXTsLv62DlyImtynPBuX7FJOw9hRz1WKSpVlv&#10;nrJwlXmJ5FCbLKipUA6yUl/l9IoO95Pm3iordyxu813Y6rWwXOeig7DUB/gbzt2nsITT17IkQ1XD&#10;tlPhtA8TUvvXkJauuj+qYWCEFwIXN7GISehvEJdbu2jkJXqO+FyH1ELiIhYdBN1cAboncxxBjzUk&#10;sou4o8ZpYcAP2jfXkBQkP1SWnwRhu4Z2aw8NDk1J6nl32DQHHto6Z7c6LBtZmUsey6s00Lf7PK77&#10;0H2sA45Ws4Mhr0wIfYGeFyLEtlU5cWiyt9GBEGMQqQA5RMs6v70C5WTtruX4fiuI4HaU2Ho4RCTj&#10;jvIXRbhpjMvGlMm/rsQ65e/WHl6K/P1G2fwUTG/JXznL1Jv9bGSlQL061KodaVNVvQSj/2bWk8nD&#10;TbeaHeRvW/7imie972uBlB2vgEJ8PkG8fju/7V3+3nkiMOXvtme6YxL/1Ml4PK1dEbfh0s7WjcCA&#10;6nMdaVp7kvV1pPgJRhbN4W5eR+rzUWKIKHUrCQmr/8frSH3kbLNIKcsNt2xmHl1uJ75KGuDeZZ0Z&#10;fqHwNl9E2r6TdBuBk9rfy12llDJtec+SOt/R8PD9JHZVkhXn/+prm7UixIUPaQgEsuMX4tCYPiNY&#10;Z2O29dDYHVv6qOPSDTL3GDjE/dQKgc//+OHzj//5/K8fOPo+7PoMnbO6fljgRp86Si900ByAVJc+&#10;bMOBxmKcBSFV05D3HOBaQbmwskYAsvG73JKbHxt3PdLJJeMH9LnhLNPq+uxa5RnUibYr3ImOayR/&#10;cZnjZmfjlkfp7MHlqhhP+XpeUsICo47p7/PKR9LQQuXGJrUPOvbdJGAdKRHJ3m8i9Ri5FTpFTJvU&#10;UPod3qSGr9TdCLhkniuQ1IX4dIu9+Z1bNdf23/8fUEsDBAoAAAAAAIdO4kAAAAAAAAAAAAAAAAAK&#10;AAAAZHJzL21lZGlhL1BLAwQUAAAACACHTuJAMAfE2yMiAAA1IgAAFAAAAGRycy9tZWRpYS9pbWFn&#10;ZTIucG5nfVn3NxzO1961IVbvgiB6Ikq0SPRuBdF7j96J3hdBhGBFiN5799Fj2ejRey8bou6yRC/L&#10;6/0Hvj/cec6cOXPm3jt35jz33ljN98rEBPQEAACAWAWioP2AHQ9SgY/3MNL2c/A+ANgDYuQFABBS&#10;/r8AARlZTwAAAnVHeXlNTQd3b3cvB3ePZyry8s88PrrbObrYAgD+S9k6fobfLmik1i9sSfXlFo7q&#10;01zCAaxsVfiDZEYFZMkAq09kFDJ9UZ8J9KmoybMger0RswSQ7M8bec9b7WW/fDaO0zN9c8i8UtoU&#10;Eog5OLiZv+nYydq5HQsYJ4WSU3DCtgucAG+1oyTEFpgTNSC9v+FQHGoI8tEzsu3hbnvcPgDgCBTg&#10;H+pdJ30LrHUH4AA8ZvnYKQb+3Ee2a3IaAJ7BAEhWih1CYJI2YJBPd5AKMPgEUKfznw0BIAUAcAkI&#10;lmMFVBAD0KcqUriAhfJvK7SAhYKn5fiAr0BA+nNldhyZnwBLvXBtHhxENyCvSoaV7xGiBgg1ahZU&#10;xoHCcQG+CYZJpDKWAGi6HM8I4NkbHIA8E+Uo6JkaKO/VVBey3MIjqhUCBCCGv4+mqU4JUbV+n6D3&#10;+3eE3GDZ6Hapl7OifUFmB/7LmpWWyUYJ2QGpjREBAPRXk7/u3kgn7Wz//bNtt+OCOe0ruHM+cmeV&#10;Yjlev+uIx3kEIHs/jlmy2NqaA3kMAOt8upzLTQBL+gCH9SszoWVwnjHBROBVXMCbWxmmnHzNQQnG&#10;pwSEhAccH/LhrzbjpO6F/rgj40LPH1bvlgOPAJ4ZMunViMJIrKeVm2+NdsLO8CM5AbeLHba7gagw&#10;bMKLyQ3helMe6i/HhrGtmqzqAwFt2jAFlt/fNyj2wgSPmVOx4G9+xICqaA3E++bHTcMuiNBDIE4c&#10;ieGUL0Am9IQ3np4QBiCzFxYMuAAAvnVdJcq8BAJG04o2H8Jv94lpWQqtWj8+AKCQF85dJ/uY6BdV&#10;FYIk6xdjB4IWxwpPQYaIHSFBJof3F/qUIP9JqiydLkJs4VFTHYg+jzzjD1njL4E3xDtICtNwlAct&#10;nuWTnO4nHdHgR7KD+JRWLGKfyT8kLLCO4dOmJzxitYIIJ0OLnu19ptJi7Rv8WIRTLucEM4Ow/eP9&#10;SPX2q6nMddLy4DPBL7dfOpQFUsIbtEAzOD4ybWXM9F/687wmvYVJzaCpBc6T9I1MktDmgtJJ1V0f&#10;b0DIlwRr6KQAiV38opVpfIyiZawhPecAjfWWoYh+oog1o6GoLzUDIscKg8+OEwelROObfyLrdolI&#10;SlI2VDOUL+NAszVStOMbgCM/CXRzsX4r02jkCKS46vX/IFafZKhUxXnIwsSSw2HORUJp8Q3CTvI7&#10;+e97AhaOJEEVQhVnyDKEt0inSGqKzDFLjROV5Pp77S9+A7TqWRqsJYk0SSP55nfP3xYqsb7PG2rg&#10;AnbtohSKdyK20luPinMF5dLzKrRGy3Nm8Cs+i+Uaq7jm+Wry68SUUwr7ZHCMZtLIDxfxFs5OZDja&#10;O1448O95t4NXI5kU0ybSppx3H+/t7EWe+hERRxNHDkA+PKdzpguiK33SQsefrlaCO52WPqj7al6Q&#10;Id3+B+kPdz1D7nPuYGrYEMV3se/630O/71To6nnpSc8GVBDqVuqRVprrh5Qo6f2nuVkOnqGpnC1n&#10;1PtZ/rpmTNtPO1FzXMuisNMCG3FtTdwQHaWUFw0p1LVu6af7ykLTL2h7bCg391EfhOJx/qH+waTh&#10;Cq3mi3vD4MsfpKYj71VhV2UHs8ve9hwFkvTXI4/eLma9G2MZIx4L4gXxSvPWzzlV21WHVosuBS51&#10;Ln04+HhAc4Bawvh4ZMtk82SfibmKXfiA21+3a7VHtS/7jO9LTVujAvbAZ0NnJHurk8pnrqeFZ7T7&#10;mDnMJLPoK2H810l0LgJvrI9Gkqx3nX84tk4effpTRj7s0A7rdSicVCnkauU8jLHfFPGnlbKrcn/6&#10;oUp4zXbFWcLqg6PgclFvUd/fzhejKc4Zdu2TjdPeIyODPCtVC1W/0QlvZ7Occ6w6FzuWb79GFStm&#10;9b2Lex03kLqUGjyMm6qeelH1Q19KP0D/TH++SmXOFMWDcp0zcNFkMMgkyhTLHG4uq86s7vXNdF2n&#10;2qBKfDH14kzHbUkAfYsmQGeg8Q7enludc5y7no8zjjylYJwT9xYP/ujtM+Lr4tGBKvoj3FPeW96z&#10;Z2DPYJ/vlX0iQluimjRMkeabRqvjWvql1C03cPj7Fv1h+1TT9Flh5s/MlepF15nVEcm+kMobdb5M&#10;ht9mPZIY2dOjC8MNz5HN7NLM0u6TpB1+c19zI/MbOJPGf1mcOXOvXAeXe02Q8OEgSzEpSdvrsT2Q&#10;VL8UTm5gbkxnSSfrumQnW+hcaHro49ucG/HrYWziZdefgH80x+9xLYG/gFtAeDh9+H8gZxDzo/RH&#10;xY9FcL/i/sTjJ5KiliMCExsxf/zmjqD9x3BlLbRiz5MxST2En01tzHD9aoRTjWmOPCF6HH+dLNS9&#10;5Eptb6QZ/zNS2eVzK7MjXTrtVQjVC27BCr59rUYdb0/vC565qr9GN/bwhOPE8vg28WWn5o++9lVO&#10;Ltou1ujMVmhrRWu4f8yl4nEahTclO/gg9m/vQq9k7KYXzo5LhlDW3wzdVG/rmq2Vgjba7b2x4Rw/&#10;CSMRo6TgN1E/KNIapLcin8lp8j/R2Cp1U2ek/PcpM0pDsbPga4FWfUvrO4nk7Wz97+dvVsVD5K8d&#10;ojWUfPqFwBraLwNgdMltbCfq+gpza1Xji56LvG9TslKyCrWJHVMbX86/anneomH38uU34r8B265D&#10;DN9ihi7+sl15nSxTu0SpTRY2atdoktCo8Ze99Dd5YuLfCoFDjGeE1u3u9q/YCCNoguFJdZqtdf8t&#10;tPobHSNZuxR/0rDF6dD68QmYabfb+DseTYUMOww3pGI1Nwy19f45Baz8S9COnCouln8ZYSD8vTzl&#10;97BbzalxmzW11XcbPYxT2qyJfhg37XeLKo+qsprLOqXW7Q2D9xazwWcBrktLa+9ahg5QEFQRyq3q&#10;wqir9h3cSXZ2IvqIuJrh+OsWg4XruzXv/ECns4TRxtGhUZCIlciByUhz1fK//NeF54HZYWbD+tjq&#10;ypbORc6lua5Vv6ATkkhGavE1TAq6o+mlv4EzXDHkzG3qMGI1kf4DQ3vXduhqq7KfRl9OYlBx0ONz&#10;RQzKydvdZaW2q6sB7Kr9+isTRMxjKxPqvpR5kOHX5GHMTdItu/WLa70kOGhTczd/rGelZ3Q9Pazl&#10;DB8FCXg5JdblU8Vb6JonmQ/H7MYXZjOaMyp3ttyHYgQ2rX0GRBINcvKyn0seX/2N+LZZalOak/1e&#10;WnImfSXgQu023dlMywxuLz+eI03rfajWYnHx+2RtJ9HsqMPjlPXiwzJHi2q1ZI2kcqgH9g+k1sQd&#10;ZXsxfGAgUeN9qo4Sn8RMh107IWa95i/n+cxyA+CYfjRDixvn6tNWjvazS9/zA1o/gkO1FbPARP/a&#10;284l7P7ja9L9sMa7eluEK/LSEmE53mNEiiEBx+TcpdxPx/yZUh5RnmVTYvuamM3MzEBMD/9nM/bt&#10;T2lDKeX4UKj+fQDKq3JnHbtxozpueLtwRHgVN95VE1B+8hFTWV4rNsA2wNwxFiB5XHJbPbYcgmnF&#10;tK8PwJnTn9/K3GmeTF5bD5ROaFxI7QTf3fJffDq54ZjKFXpgm8+sIdrqAEAgBwAAjQQAru4fcA8A&#10;8HkFAOxbAgBiPx54qXuyRZ/SA35QUZDV9V9CZ/ul6J01DUgLIaieJLFCaHHJFWWt53d7SicNk+15&#10;YsdpvtJ//fI5Twa9zfEyNW1DSABVvBAkX7jrtTgJ4SFSBy/gFbFFQCh/pF8MrPl5Rp2IX2StS9pv&#10;p2LNnGn++7E81pb73/jdwXmlg5tbvw03rd7Si1d0R5zfgO6C/wvaZufOYr7EOqPRLpW/EHSI3zJ+&#10;lnhHT16RG7qUlnrMBMuZSSDVl8sIPXA8JOoy79aBMriaxCuEVXXTukU0a43E6DRQGnCxpBDk8cbj&#10;2QRzax8P/OqoGHDzBDlVbTmuz+sh4EE9Mf0+HWgxUpeIp4ST/VGimeDNeJ4oMk4vezaKjhp4Hl9B&#10;fQ3GgwMtXOoS9ZHifcFuxEc6UaGPxb/jBdcb+jIvEAeCOtGW49F3OFGdMdnGoM6JxuxrVNoeRuW5&#10;9d4A3SleMEu3lJjsglAFbihevOgu8aWcJhd7f2gAQZ29fFi+3Prq+zbg+lJdYiz4hh5phvSKXIPy&#10;cy4oByLuRDy4ko3gxIYHf9ZMHSdaEoaaUksKu6VoYkcUZpWQbkg7S+ARS7JLu66FEPcp7R5GtK9D&#10;9QeRP/9wqApT3To+z8y9CXjli66audyppl1QVKcRP1PkmmlGRAQWBVgQMi6eWGeahjvWuk2+sQyS&#10;n4Rq9HxtMww55xPgvYEj+Ge+gqfeIbvCpQEWfZ/uWJEEeZl/HBBcxDeGeZWP0aI4uVv+aFqnvZC8&#10;rt4Hf32LxhJoLLh/BgS9Pm35Cw4x6JmCXugxUuCd1qMvFBvRfKphjylqEytIjFCEDwZeRGOHftR0&#10;KyFDm9AnkutBuBQhx+FS3/CFHtyzUJd4AsWGS1g9+JQTqYEQI90d6Dc1zRyiuiSBEEjzoTOpzlHh&#10;AeCQVOr96XvcBbKTCEbHCYYjx+47y+46+0aiSxHtBCQI+2Rji0jNFicY7/y4V/WvjWUXH+6D0fG9&#10;xxiFZEOtWfIXJkzOD9tMekLDudCkL9DEL8L6iU79+j51vs/vWskbt3BVxT8H4xI9WCS6i5FWEiso&#10;kAtLv7tjKMr6pRtN0yk5JbdjvcisvyDt+me840ksZv1gb61osewDghaIpvxsYNIJ9n/UWkJtOe4A&#10;4zrNnplKfL07THhJhJYeB51H60tFK+6vXRpeT15P/ybjC0E6S/LebOPUoVVk13/n8ZMinRcFh2qU&#10;1RaYcWt4ny20+LofKgrCPfPG1YQPHZ6nMR2JuNDp74NuZhFcuIEuhLCiecmciYcTVAkv4227MvwL&#10;UV+A59X5Xfycp8vpxfy8SGeoF/VSayrW82xR+kUyxpqFghu+DroWgCw0jNXxmSOdJXiDCrtDqY88&#10;YSFchA1561SU1/VOe+JPlvoeBzfb8tMuCF3zPFzFk9OHeVN3qDpddw4xtolpwu+1qoUpwgAkfdyI&#10;1niOZv4+ePGt/pTUX06aQGUqnYDq0gn5tMlF0rr7jj05AFvW21l4FVgaNAG6fkl03Y27Zknacto5&#10;YVE+MU9/GAUK/t4uMA+ES6z8yGXzYlI1olO9B1B8PKs/bcILtkKEJoSme/Le6Oz/F2bIuT4fDAdJ&#10;PWjJR4AtVqj9JYrU0RSPWh1okI6amQk2tFtfDDabGIjqfDmFEq/Iyq/lkVvIbLDMNSlZX5aIurMi&#10;VZWuyeINsX3ZHdr8K0f01CBATrrTNN+dGLnMis160OFB4cZfTA57zFqi/DXFzLEKA0SXKVZdTLuU&#10;lOddlbYZ1llh8sSQFG6+U7Oz4IQZRDgwFwdtz8YohRf0L3WN9hq8v6ZLd1TtvpgZbn+qepXmmT09&#10;ZRE1cy8aYHit6u1qi9gpf40wYkqVBN34WzYfP1XJrShOJAwRlRyn1dy4CdWjR+PBK8STb3/WpeTX&#10;ugAX3B9dB3bfhR+jijUk8jHhNh9V56YMSi7b7ctsEwlv2CMltXaZ50/o56dya5WGoYlHGfaskfI3&#10;AQipMUsNqmswwlogfx34+9tt40xerdqfs7EjKCPSKAobsimsFVI1IX0Ixl6lTBieDX2yQI1IWDK7&#10;15USYP01dmsNVC0cEe5auB7tfJo3A8GH7JFwRV4spUCugXZqp6DsQtgf4I1qe12GrUTzZyntTQra&#10;6xynvfFpzE+X8HHEnQUigakuEbeEIUYRF3vVRxTSicgtSZXkQ/OzMb6Zju/Sn4zZX1OLv+owN0rt&#10;REOliS85Xj3bPjHXGjZ3X2mq2GbVqi+VyOvKN8yvHaE8ZyQ+b4i+W/kIuBM+WwzhvdHdrMoTfky3&#10;RU57vQbRPeQqJrotJ7h5L5B7kfHL/Cg1FOeog+t0J4X1qLSCYRN08yQSjhQx+aptuntDRXmq9XIj&#10;9NEtN+nCulAOgbb4izK2JM/gTJiVugWFexqiE9JYQ7fo31YWfhGF9YmE583S7cmJEzoCynUtM88u&#10;lDaoE860dl/Y7PZA3UFPK1sqsyUtmZ3raBsT5JIhcMrg0U7IqR2boFRR/QSJ2EgMc0HlxS8BCy/B&#10;ZN3AgR/cu03La+CeHK0wG+/BX33NDpLMCwOU5y1fyyP0hY6jRftm3agcPnATXfbEirr6NrQL3Avn&#10;fMG5FIX4UfS2xBFfvpE/XX81bO4dyHgpOWXWzJQu3kW+SC5xw3USlvnuT14PTfWJd33GS/37km63&#10;VHhrI1NsyQggen+1IxaJB1OyIdl6i6jDr11VCG92jAaGJeZ8znlryUyoJhD6RZsBGrarQTVbEZbj&#10;bDlNgBzv256SAN/SqMg92sO1GfaKhAcLE6cHUZaoB+741y/w3BogmMPTId8GyAfntoWSrG7HNSXE&#10;TTOTteB83o9jDM/XgX4A1Bdif6gIwiswL+RUv1lO1r0R04VuVKi+PSbBWBJ41ArKCeDkhuSp/vPP&#10;DUe8QFgNSvwjhX2cSRMmsHQy0nv2NvUbFOuTL0a5+IrXoPtIktjh0feMU0UKjZMvjJfBpxhI4fnd&#10;PoXtHeb52ZkbSJ8ukrfktVNwDR5eva38J/Jr+C3wcj1pR0PrJfOjW0tibzW+mUiNIHS3TNHY9Wee&#10;BaElcOxRlkKsRhXvK0ailQJLfXcfFiJ5uRHlaAlpHjmduBQeF4MaRG5Fak9xAsTFL8lzgXU/2rsq&#10;avTm6aNbHuS986lcq56ZTlo0ZdddhY1pRiRbx0DnYFGD9sJRHoHKnI+danl1beIqPs9UbtEM6M2r&#10;7s3o3T6YUfBhdApFrtzh0OLq2eHx+7c4FrR/BGZT+t0+YmEl2z3hJH9p+yom4mxhfOy5clM3VxXG&#10;/P3PQ0MNsE/Xlbun1jmXmt8wzopUKDa02eIGU27li7GD/awIaDGalryCYUJgPYXgESC94Ru8Bant&#10;IDQxOuKvy9BQDD8tsc6rqVYdYpwE+eYMNTmtlaqawX58+0BEzvHmxfMBRee2stp2AcdyvwiEstnK&#10;YfLAyc/np65El1MzEpY+X2qlc1NHzZU8g0pY2CgNog2vwvGCHZ2i+Ximy5gDLCxuhnHeztUmhc6q&#10;wkpc59fagvavC6toqrcKzhD3gGHYc3X75plU+1BfhWRXPrb/qMCjodXkCUpNaFK2zfcEsjrhXSzf&#10;G+O8RwUzkZr27k3/KI9Jx+mPcKv6CLAK7NMLKU0QF21nP0mKaZIpsaKhI8a8bzhdCvwF7LNjJwtM&#10;8oHs+4sUH1fz/FqIE3BvzAPzRZ8cFZePtqL6pGWSBa0ZCVdyArUk1MVs51eh9xNhmytt5noTuV6t&#10;emeDZZ1WJC12tKBOie/pQz6vjrKhXfOsN4Vjms4ZKRVQeRjZJliBNHtMsT2ViaPj2pNG25Hu0S2g&#10;KCWflqKtXIle4fWuseXbuioO2i284OEK4OVLisJD6qMLpkH/OMfB94xXTqLsqoGCdc7xO9VyeNyS&#10;7w63D6gRJgjShebjLooXym/e8+/67pO4zvwc4P76j2ei78rbjIsHMowRRZqYj+91n5sOXDHnJ93q&#10;8+Yntj+3sd9D9Z0tp4EwFK7assxn02bFVIw4pq3n7XXjnbsM1KfpkMQDwsA/ovRHfdWzEPhV5yPS&#10;9golu5qu4jsvU8YIqkAsoIvnhcJL8F6UtxTj46e9zVvrnrNK/FmMs1vi5C9K/eMficKFkCbKOuE3&#10;SQ3heUvHsgRYF3ZTOkXQ6ZiHGAWJ2jSx1NMXqDu+PRto5ewzomnxGUnIKYoQ1Ol/RqYd7p+8ieEq&#10;i+oSH3CFg6YsT6yRDlO8nrslGC8gr86JOe5tZk3AuVI0wchrZJyOqjfwJ+mv5cc+CttBnYWhrkmd&#10;xZNplLGdyod245gQe6SgGW2jt7KOKPIDe++V6j8HFmGkiUFtRaLYUH2dBACMWh0UdR4Ocvy7JVxk&#10;8OZd7KCxDdWGJjs9lbI81PlUslIi0ee1YKUdcbIhKkL4jkjhI1lbQr4cxnI1KXTlXggZp4GCGV6E&#10;BqJIrpM1lDk7JCN7J5TLTDyrIigVp2dFMr7aeG06kFEUSLzFSUmv+qj5/e87s5aOSqlA5a9HpzoW&#10;2GeSpKteD68dMRrolvOQNGh4wfJLsPhuuahSqPsU/41pAaa/wZA26IL1P+mYvluXkJmMHDl/3C1O&#10;uIn67FlvZ8LPXhn4cNV8ri2k5NxRsqQHitlz9iYJ6LIKJK9h3f4rDur00Y38RCRePmsaocvYfq3Y&#10;FVe0F6TYuM8wOw4nvBQP/Z7aRB97pUWyQLuL60OazOOMAnRWtltQgt2wN7ph5gpyFTtbn18fkJri&#10;miaMvBVEEqqtCi/ViSefoUvjurjNICSaac/wa8QK7N/Zs4XUkcIsms8d2IXp9b9okt7i+UsQbhhB&#10;zkXK7Oz5P7bc8SrYbXbEoMnP4Uk+PVr0Au2wz1h8vOBr+rzQC/ymYHFK98LYMuOa0LsQp9WT9B3z&#10;r/GGYJOV90pLAIvV/ftSFtuxmDemMMnBVdRSPPtaP2v9xX+X20TZ8RVQodPun+tQdzMfuWtTDb31&#10;Rud3mOlPRRsYpf0ZA/bTxZ7urFo2k7nHV+NeSUMT8k/dRj0K3P3n8uZ+UrxZrn+yBgSP3gkNMY5C&#10;NZRBsNbjvV5SYP/kAMF4JPuPUAPaIWpYejHZe3CshLp8BUvkEHE0yoyvYh0OWMTChQ7ZV63oFdtj&#10;nyraz22kdZzLdtux6XyCa2G345Je/zQCd3UO29/hOH4MeDtwgvJsuTuQvZ3rwiv6USNlEx7ineKT&#10;AMytItFe0FC7OlwsCj2KuzTQvd71xP7Wa7/pvHtUnmh81YqGg1di2SdMo7fxQZ1bjVwejILhol86&#10;NV9eJrQ/nj47Z7QN9hdnfx1WYi2QFm1XeUNl+7XOOHFAhNeVn/0dtYEGzrenYajPwvMu7lLB10tA&#10;OnCobsKAq+b9OTPBhBw7aPEzVciZjGDm+tRPxYX+X+Jse3fjKm7cRoYzf+lsWvrLMkriBvMfvjf8&#10;451Bfpl/BMpvIgBBqNVN23mzQehDkgPzPzv+xOUgJbOxOc7SZ2ll1WMOMVkr389sJjV6mjiFi1yh&#10;SjwWYr99Yt+5pWZmQuQTfPjncrZHTUkudQD31pWM4jpr42PISPFvixu2emQ7WVhQMt+HsKiida++&#10;QVpQ4q6XG0cH550HMqaIcnl8l3djPPbWlDZdls/Y7nGyOVOubc4ai6i4KXwVnw7wQIlLjc8KYz5J&#10;2LEmywSkX4ZkEIZbsFkh+lj8ftzPLAcYH6rBQ1NbM8g3mtHhQTYqNeNCQn+D0ZBBU1WQlDSxfMVT&#10;s51jahsadSl1QlR417M9X4PrYIMz5+Vij/jcyp8zaHAHauHxnty6MnGrcro3R2sXAjouT+20mqgV&#10;R1F0BUH72+FgWshfPJRHgeYMNn4JLC+eouQKWujwJEWDPHSaK7w91xY3fWg/rbwVi1GEEvlLn2m+&#10;/JhnLbv4Ob7V/+2vC9NoXel2nmUPDVqWtNRv6yVeZwRlKJI9If0gkcNYF0ZwebkoEiusS1tZA09O&#10;ZbXqaAJ3YTJb5SOXWb7/UBnYMtgJePqfh7t9SmxFrx6bdjvU+s/SL6iG/s992q12Rg3ZfdPkOWPc&#10;uxMyaLPGpaQobP0930nSj+Ck/Rn/S4Ufr8WkDDLr4h6yax3pqGHqL1nv/slr/kcbccIYhtL4p5fu&#10;+u+vzX/tIsNyNOlSQq7c4LEgYXLtWEfETbl4slm1p2Ev3lSlp1F8kNTw+V9pMkfnJg2EesYX8YQu&#10;qq6EKhISpCilYOk69CImLwGpdrZEdi8IdpURuzcjYz/o4fIkD4lQszekR15Lyt4yEixv5kR0kFzU&#10;sOsbI8uHnrbMCPvxE/20/SmlI7WfjmjPIy9fXP98Wuk7KTJm1ls5/vtOrUaskB+8uDwHvWhpQJ3F&#10;rVzzGam2O95xrzSJMAzWNvFD4J479BsOItprN1V85yFmdAsNme+S9Cm0U+wQN47FSu9e17n6/qfP&#10;4ijf/c39P1OieYkBPfaucV1x9v71WJvXbiY0DdCvFb9auSR4OG0M/E7+YBsh1Z8Ja/KL5nvEnvhN&#10;zna/uhchZfzUe0komw0LV6/5uWtaJDgL1dBkZhNhtYgCTHFFXbhG2viZEc/lbiRM7hSuwurDovKw&#10;SUz6aT5huUmc1KA1DSEY3xVHQhcmIn7LIRPHP+YtTUnmTENxvYWLiCCzHeRl7sX5oCb3fMnvaVjA&#10;a3W84AYnTVXBb8h2tJPNxF4OuNPepIilV+Qriu3fU45s+Zjnp9VthwzhLiM0RXZRcBY07kPEuc7h&#10;9xCy6Ida2Kz4aHfeekJWf74ck3o74qcuIwI5uGep9h67Yc22rdlOCAPybxFQPTm62iNeKWQT/BbG&#10;32sWQaYXw+pFZZbfuhV4HAKb8GzLW6RcDA+SIczdMRZhGog2vEibGe2Fami8TJLSM/hRTTl1IEzS&#10;xYelLzI4tzOrahMGp+OlpnTLZQ6gBHzc871MC1OxOCuw9EVIv282MLcmA0a3ZaUDagcYPIOXK1O4&#10;XsS/Y799Q0BXHGI5aC2txHnBaVTVTO/X3ECQzi0B/O1fUu67r2QWO8PXdqiUSOFpkCSnIlH98sOu&#10;AbCFbZT2cbTC29DPMxPSiUSaGYUo6Bm9Xpmck9X17maCcnem3tuxZUaIjhdVNYvxYo8xUsTmXP07&#10;m/FHmHlHC1ny7m/5bJjRZSGY9FgqkShp1VQNQcq1GlGZOqHjsjjZXQwMdJYipguphyT+VHFfXU16&#10;EuT30Z33PyOzdCMF94KFKAdb0lHIgaqfjZfIvGJwKh+nu3K/P/sxY7Oi8f2YDhu5r3JWZPxdnARN&#10;R0Hb21bRlg8bGezP/HHBHOlfVL2gGLbq+C42f+lFl1Hl/i9qChmSwWJFS3u4AUXmkLY1rxeCNTfj&#10;j06vXudqGkzQrOn+CATRMfsL/SnGxfqwBBEJmu5Rs/fl7sX4qEs41PrBsmcYJZRW2zLwaxYxsGzl&#10;D+o6r5DqbcIqwI7wFZ2wmH3jbbUzVClL09GwN7wB/CKxbLrvFsA+0xbDB3VmDc75jnBt9zXCbD60&#10;EsPNXVOl7z91+/C2OTtxzzr5KSfrZsLELpsIgk3MlHVRGM8npj9wf84H5rsSZgvrHJcHVK5zsUQ5&#10;bsIeaaaMVbwzCzaAhf07cLUZG6dUyKxb4UaEua5QFdOD+eSCGBZF3PG054VaceOXBG0AB8xn2BPt&#10;JcQ8aF1A1cI7I/GnUhlw8Q7rww70ef7bW8G1enYQfXsDS3JntaV0BN0/a5BFhPZrTjqQH7U8TVz8&#10;pKYXpBEuDVZJPuPqOu9XYl95Q5kOuic6th9s4T6ahqVciwweFfj268g6g4+42PWYFS0abAs/rcKy&#10;hkMhpxxC7iWgXyqNSmaDdiUSPFOEuyI2Qdccl8QernpI2fNHxl+oAIwq7cRjnGHDxqS3erzOptVy&#10;QwwlrNiO9HSYOFv6gpsRUpSVPPc7vU964gxIXfnDRaX214JWwWpOnRdDFRzqeB2/bRCZav8LWK7v&#10;gQCgl87QYtmVyENlHqCi+F6hRs4y4v8AUEsDBBQAAAAIAIdO4kCJ9EAbNxAAAMoQAAAUAAAAZHJz&#10;L21lZGlhL2ltYWdlMS5wbmdtVgk4lN37fsdYBlmyjS3G1ipCNJElS6ZSZBcKk30w2bdhkPRlG4Ss&#10;KbIOITFky9KQLTSy70sGjaUxWfvr9/++6/t+y3Vfz7mf+zzved5z3ee6zvv+YXBbl41FkAUAALbr&#10;CG3DI+44CiKE8Wi0Yhe+eUTMaISFFwCwcv8OEJCeyQ8ALLectbQMDJw8vD28nDzQsOtaWjC0p4eD&#10;M8oeAPxHs4z8zJNofGpTNHsOU83h9YpUVBggLoGHdHBavOJMBGwfcXJptEc+YTHl4T2eiTBpCyex&#10;ILKezOacJjheffrkbrSJFfy76HjBO0wgZW1t7+te/VLm0n5vQB8H9jjXyYTFVy7AZcPIK8rDovH6&#10;iLbOBiwdL2KaHsa52NXiyNAOAOvgAP8Q73L1fdAbD4AOQJNkJLmIM78i6gxOmgGwBGBanGuJFYQz&#10;BDpkjDt4gA5+oNzo7QMW4BkAoAKCNcWBYjZg9cd1NQZguChpHAoMvxIuggCxICDttK4kncZ7wMYk&#10;zFCarrkFyMFriMvQN5eBsBbV8rp02AYGwDfOHMehYQNg0zSluwEYnA7QEuHuAcP0wDkXBpqmi+6j&#10;IwkIENDcldyTenNAgYeQ/FnQb3N9elZstgVVoWkLPcPpwDwvnpmaIcGNWALr9R4DAMGd/g+HcHXc&#10;0uL8zKLDEoryo/3Voeu6h7ia2MbUYX0MHT3AebuPMnp/YWEIjCaCyn2aXIssgVFTwGlqx1phjDnn&#10;LsvnwJ3oAPi+hkj2S4OOKyeEWVhZ16TsXjZcmItW+6Uw4zEdHbJ9VD0cC1wHHqZrpJU250YcPLR1&#10;9y0zjFvqoteUc6ctSRwSI0MP4s70z16ssJLmfbph/gfBQPwWMaDWMEFbrDN5lms5VH5DNOWAOcmP&#10;DcA/1m++Xc30rgvVHPIdRBfNbj7gC2iEbJ2PEWRNADgdL8oH0AAgqWknXuMcCOhJzZsDgPpv/FaF&#10;z6B6HyEAoJ0Tdrb8KtOxDzz4ZvbMDyfqm6F0tozaGsckm69wajLOY4VZXvKnXBUwblYepn9XDhbM&#10;OZ4+w1n1QQ7OtjTNZRW2goYy2vBnt/DXP2amv9oB4bYVU35y3C5uWLwXAk2Loxe3RVxMxObBlp/w&#10;3BFv7/DMoyvSdEmwRkhsnvfkuRxrpbGLG+uAyT/df1qvK/csrPIO+Audj0Ztoajg0485Xv3eFzms&#10;sSmvXPsFq0RUsdWvCvpvfvPxBjBP45DYfjl2h5gRW6uYKB2bP8wFTxL5kAvmiqbxisgT5pd8eYWa&#10;s20pEEm6aCz3KuTeI84WVDgOp2uuZ65VKLUqUcVVBzFjjngk13JKPKlQv0oqkGunzd9OuQJnfg1/&#10;8ruYiFi21L1T7Nz3kxCS7J2J87dZxKRw8tdZr7sixhDn84zy1AY4nTP1Tq7g3Don5yGVWDwsNaEG&#10;x4HTT9zrbJ2v4VFufzKrx/xK0jDvGdcNRXv1BfrXL+Q103KK7/QUZX+BFD9RfnH3uluOr4GsUVQR&#10;90WfdKmeDD6trrzzuaTP6c6OzjQn2WXvOuaJCBGd1M+pA67fmJaXliN++B1je8wWQUTYnRZwFQgS&#10;KOCvEZBN08tnGExN6zC+8FVeKM3xOcdzDxPzs9tng3kTPnElKyebJockLxUbm3iZqJMCilmNS0w4&#10;Su6ZYvKvmbw1mCti/sJXQio6YfK+SKms19DPMN6g78793Mb7B+G7SLbKx5HXch4jco2RNR8FYsX4&#10;Psrbb5hrDnmaglekXZ/fsrOs3FnV82XYE/KVDdIz0vIqdsA7JDhkLT7sAbF/rJhevzySeaNXrJet&#10;N+g8+Lz6+Yohl1KH0pDSS6OBo42jdmuea3xrK6MUH3SWRpZ0FlXZTZnmw1ynVHenLrJuzKePrDaI&#10;XAlYZqZ+orIvT/TrUt1+5FKhZMoQpV/00oWLECWcAEoOjlzvxiG/uT53JvSvP5opPN7lVJfQ5pTb&#10;fz33FOHk9yjHOUV/qJoD3kPYDn9x0n7c9YqtnbP8WF5bXvt845meZ67pDnX9VYPe3d0d0uP4YXzn&#10;atxlUqZrtm3jSP3Yfmzka53M9hvRStHElNGU4C6GlFspNPxzUzXTAFOq6Vf89SGrFekVtyEzlIGQ&#10;WcaxDOWMrurC0ozSNt8MtymeWZ74MwNnqEbuo3Kr+6ssq+mrjGuXt223pbbdtvtOdAtznRhS8VYJ&#10;9vT26fZFoetX8mYutha1FbUumzkKOb70ytpShObfxHVxpfqmQo3cCp4WuL8I7EpeEPxeN/BukJqb&#10;8T5jvHTE7ctEt2o7pmTvlkyGUKd1qyrl6o91mvnsw+65rIKMgpYt3JLsPd97Fvf2GkT032aezB66&#10;4NYx1mY53dAVZKOspmq/27sMVvuoRvci8EVUY36j+JRqo0TIUEhaCNN+9p7KbtdB/M+mmYBNvo3b&#10;DDagD6AFUEOYYNhbsCtYlD6N/jWTIkMsw3tG2WNqvJrHmNksRD2TPJqhm0I7SIVxR+n0ft5PkCze&#10;u0K7F7pP6okMHY973AeZ4gzxyN/RW+6uhjyZ1kU9IYg6C6RBdzA8Z87KF8uQ71QZeT/0pkkP4ect&#10;9hwb4jbii2JqVcZcqj19HfEuKEMUcjWDgCUUE8L8o37qbKRyeXNLMq/9Md823Kb6x5wX3RIqXSFz&#10;Pt04xRtZtjD+qha6uNzble13xULRAhcMj3zOlVqpvhAB0zSQ5ddfKHC/dYJ781FGpL5O46vYV3cq&#10;agg3riQuZpkmb8MnVDBau06P9a/5fFRg1jc8F5AgkFgrsXXLVHtoEt838nDk/OVnmc8ycw3ZnFOq&#10;zn29UHO6Rt/h3LkktvmARbdPQklRn2jzEjteW2O8qEi9/twqwzIDdj492cJz/pb8lv4ERAPi7heF&#10;KYdD8o4EazhfcAOu3IBQ/naY4G+xMS3epPOeTyLaCOonI2dtWPfA33l9ANPl1FWZcmAwa25osukS&#10;ML4ZZxgx8Pq11rlws4vJRc86u9zLftytRfLaJj8wobikkixNQ89Ck+/j0fjCsp/l1wiLs2a375OC&#10;qQFuo6OTN2o+ra0gVvJW3PE0i6Y3NxpcrpI+P15nKxXaiF0Quu92Y9L7ZaALNa6nqudTD1jRVnHN&#10;srsaP7b5Uil3OzAr1LrL9KC0pKZx5OToUNOEX9AWe8QJXpVJyrPV+nfn/M1cG3QwVPeB7+ET8YJ2&#10;QnVNiyETBF0//fbs+KDXQUzbOpQVF28P1PibpqZKZjdDpVgRhDJ6IQPrMZqxlu73Dn33LHvL1YUP&#10;p6byg4PmDL697G0db+2ZSgutoUJWEAHnBpSbfPDnc91yVF82UL7F5GaduHdCt7HmVwhFbg7pQ1SM&#10;N8vOyTqturEzH540V/CgIDvrtrrql7TxAJrefpqr9R3rBketvmx1qPd3vZr7tM6tyaV46/V69A9x&#10;mt2YVM3NUtUyVd0Q9MEM4o2lx4o9rWvN7EqZ949bKyr9lMHQXZdmktfXn19lrF8ENFA+rgrVuJ+c&#10;ECZI1VF/+m6vQf1YvuuNWwfG+7/Zbxw9IDPtcpBDqw4r7Jvdpn/aNNv0tVpwUNiZo7IPn/0ajJoZ&#10;0O3WJUlck4iNzxIVFWITbNh80Js0U1BZwN33KcT0V8CKV8nS1MHs3s0+8/3hddad6L6msoCiLU9K&#10;SdEbZaIEUbS+N0B1I3+/tHcMQyFQ6qaIDaJpp/c1Dg22+neRxILP+jS1peDDfVnao609qYEXCkd/&#10;mzAkwvAWAARKAQA2AgB2fh3xMgD4XAAAsg0AKD8HAKhH4v32awDAQLuufdXYf3R14qaTvSOoeSPU&#10;zqDgS6RrO1MMhzFP8HkW62+E0zdQvORraKMqQ1Zf/jHn826Oec9Ba+bLmu3JrLxXE7iuPpSAC12q&#10;O81bYvg0pW6bdPb1nE+CJUKl80FiJyYzc0pURqEz0+p2496BZ69f3/xk8lEhL8tSkZ4L9u8Y+Hk3&#10;oz2rDFUmNHJAyyd7UxPIySTZ4i2SKFGJM4l6S5ezIW+QxE1aKpkjCRX3mcSb+QmJaHwc/1rsRSrx&#10;vdziYSyqqIeN4SWmlq1DJDSmh1/ThGSOqAF6TACGXp1kaGWECKtcKhK54I1trvASInmwicLQVqM1&#10;xUG/k9WYOaVWJogwGqBjEsZC2DXomWDhWthmMY1pThgawgmnhwjT0bOzvVLUKqeIFLlHtR7XRgN2&#10;kL+r6ciuXekhy2Ij0hiUwPHVWBQLxtmveFvKtl9um0Y/VRx0P+q3OnnpaIUKbbd6UgLMDqrUehP2&#10;e9KIpAOn7+g9qNkVE6Z7QHN/k/3oaHpcvZjDRL0wO0or2l1AlkfNGlNXV1J6jhw1gSFFMT2ayycP&#10;kR+TZUmyJR6mTZcwROb59uy0Sfa3sWEzP118+qrjp8wx1XWvlS0x7TwiX88MSY99s/Eoqj8tLCTb&#10;urFJXEO1NpSzQIS9RqZUYCB6dgQQNle8DeXSmMbSc8LLZI40+E/hEP5Xdm+01repkr0z5m4EEgdX&#10;YsfmkfPOqGdLdJg/hCcCdEQR/qNWcaqcGnQQYb7vuqEJIRifWc7vS/6WTc4Q4usxSwIHZ8cG+RTp&#10;PfTnQexCkRWCkXH+HenNaOA7bbhDNDgRVHa1t1nOTHhIEgz2lBD2IlYcHPZqVo5r3GMiaqJR6uEv&#10;Ih4EhO2zxUXO+FcEwSzuweJbKgyEcdKXcXtjgZHacL4ocKIU4yatWoZdTakVE1oWCGFHOIxIy/Ic&#10;1gbqR/lJYYJ+4RstD1jjMGLLwF4I8UdfErY7n3Vw7I5TIRxmUWmEzx3+/BA+cXTc/7DgT4eQBPif&#10;2V+O/FPOF4pbRIL/x7J/PTwvj1A68jRx4n3QSAK+BcQkOQeiY5LENoOYYejfhuGsnj6w98KAOeEw&#10;ASCRdHzWn58dEaeMK/kwsxYndnng/08GZsEoWYKGJM6Aj3pFwiwitVi1N9crJX4nq/P/YtwxjqNu&#10;0gyJ9vSb9nDYyKlEBSRos5csLYxbfbtnpvRVPwbUgSEJHsktV9Pi9x+BeWX4RYupK5BEjjhQx7np&#10;z6CEKyqMsPgPL8HiOz38WJQxN7xKXxJaooAENlfI0aQtlf0x1kGdK8Jz2pvULpSnQ2Xjzk9+rLGq&#10;YUPu7m3qA+rX5akpE1Wnuhi+zixS7GDt+pcfg/rGNXpDlxyVZE1PJnXOTC0v1ukam0XYOm8vnG5S&#10;ohTkF6CSltccScRbTZE+1tSG5UBb+YPlUFcq2X5yOZdlPpiaS951e7FnTnXyeVOrTFOTO7Clprl5&#10;fXcj1ZS8qG4qoIFqP7lPIsV+2fi0ZGZZepQ1hgrQXzLmAOSbyuabhMedJ3tLZY2J28OLXypFdOIE&#10;cclkjFn5RFDPWK2PVDxRkWQJSsMQ8xHb5Ltbvu7WQR1jIPG/wcz537iORfwn6LT/G/9+1f1WiUDC&#10;32AcHEU0UZCktlZZ3b9eghuhikZTPmx7aDhM5e1m1SoRsksP6TuClR0b2cqiiqOx3QWiZks9tR9+&#10;bJHxih3BKiYTVtYXfqVUqxvXmLzAH9bgVWrl08wHbyBVwv+xR92iXxxA+UW6Qhl3B6ujzwVwXee2&#10;dpmmTfj/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AubPAAvwAAAKUBAAAZAAAAZHJzL19yZWxzL2Uyb0RvYy54bWwucmVsc72QwYrCMBCG7wv7&#10;DmHu27Q9LLKY9iKCV3EfYEimabCZhCSKvr2BZUFB8OZxZvi//2PW48Uv4kwpu8AKuqYFQayDcWwV&#10;/B62XysQuSAbXAKTgitlGIfPj/WeFiw1lGcXs6gUzgrmUuKPlFnP5DE3IRLXyxSSx1LHZGVEfURL&#10;sm/bb5nuGTA8MMXOKEg704M4XGNtfs0O0+Q0bYI+eeLypEI6X7srEJOlosCTcfi37JvIFuRzh+49&#10;Dt2/g3x47nAD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ukUAAFtDb250ZW50X1R5cGVzXS54bWxQSwECFAAKAAAAAACHTuJA&#10;AAAAAAAAAAAAAAAABgAAAAAAAAAAABAAAAB+QwAAX3JlbHMvUEsBAhQAFAAAAAgAh07iQIoUZjzR&#10;AAAAlAEAAAsAAAAAAAAAAQAgAAAAokMAAF9yZWxzLy5yZWxzUEsBAhQACgAAAAAAh07iQAAAAAAA&#10;AAAAAAAAAAQAAAAAAAAAAAAQAAAAAAAAAGRycy9QSwECFAAKAAAAAACHTuJAAAAAAAAAAAAAAAAA&#10;CgAAAAAAAAAAABAAAACcRAAAZHJzL19yZWxzL1BLAQIUABQAAAAIAIdO4kAubPAAvwAAAKUBAAAZ&#10;AAAAAAAAAAEAIAAAAMREAABkcnMvX3JlbHMvZTJvRG9jLnhtbC5yZWxzUEsBAhQAFAAAAAgAh07i&#10;QPp/3CHbAAAACgEAAA8AAAAAAAAAAQAgAAAAIgAAAGRycy9kb3ducmV2LnhtbFBLAQIUABQAAAAI&#10;AIdO4kBUwD+GQg8AAP5fAAAOAAAAAAAAAAEAIAAAACoBAABkcnMvZTJvRG9jLnhtbFBLAQIUAAoA&#10;AAAAAIdO4kAAAAAAAAAAAAAAAAAKAAAAAAAAAAAAEAAAAJgQAABkcnMvbWVkaWEvUEsBAhQAFAAA&#10;AAgAh07iQIn0QBs3EAAAyhAAABQAAAAAAAAAAQAgAAAAFTMAAGRycy9tZWRpYS9pbWFnZTEucG5n&#10;UEsBAhQAFAAAAAgAh07iQDAHxNsjIgAANSIAABQAAAAAAAAAAQAgAAAAwBAAAGRycy9tZWRpYS9p&#10;bWFnZTIucG5nUEsFBgAAAAALAAsAlAIAAO9GAAAAAA==&#10;">
                <o:lock v:ext="edit" aspectratio="f"/>
                <v:group id="_x0000_s1026" o:spid="_x0000_s1026" o:spt="203" style="position:absolute;left:0;top:0;height:1647740;width:3987614;" coordsize="3987614,1647740" o:gfxdata="UEsDBAoAAAAAAIdO4kAAAAAAAAAAAAAAAAAEAAAAZHJzL1BLAwQUAAAACACHTuJAia6w7MAAAADd&#10;AAAADwAAAGRycy9kb3ducmV2LnhtbEWPQWvCQBCF74X+h2UKvdXNWioluopIWzyIYCyU3obsmASz&#10;syG7TfTfO4eCtxnem/e+WawuvlUD9bEJbMFMMlDEZXANVxa+j58v76BiQnbYBiYLV4qwWj4+LDB3&#10;YeQDDUWqlIRwzNFCnVKXax3LmjzGSeiIRTuF3mOSta+063GUcN/qaZbNtMeGpaHGjjY1lefiz1v4&#10;GnFcv5qPYXc+ba6/x7f9z86Qtc9PJpuDSnRJd/P/9dYJvpkKv3wjI+jlD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a6w7MAAAADdAAAADwAAAAAAAAABACAAAAAiAAAAZHJzL2Rvd25yZXYu&#10;eG1sUEsBAhQAFAAAAAgAh07iQDMvBZ47AAAAOQAAABUAAAAAAAAAAQAgAAAADwEAAGRycy9ncm91&#10;cHNoYXBleG1sLnhtbFBLBQYAAAAABgAGAGABAADMAwAAAAA=&#10;">
                  <o:lock v:ext="edit" aspectratio="f"/>
                  <v:shape id="_x0000_s1026" o:spid="_x0000_s1026" o:spt="75" type="#_x0000_t75" style="position:absolute;left:3039454;top:0;height:966470;width:948160;" filled="f" o:preferrelative="t" stroked="f" coordsize="21600,21600" o:gfxdata="UEsDBAoAAAAAAIdO4kAAAAAAAAAAAAAAAAAEAAAAZHJzL1BLAwQUAAAACACHTuJA9mU2PLwAAADd&#10;AAAADwAAAGRycy9kb3ducmV2LnhtbEVPzWrCQBC+F3yHZQRvzW48WEldhVaEiu1B2weYZsckmp2N&#10;2anat+8WBG/z8f3ObHH1rTpTH5vAFvLMgCIug2u4svD1uXqcgoqC7LANTBZ+KcJiPniYYeHChbd0&#10;3kmlUgjHAi3UIl2hdSxr8hiz0BEnbh96j5JgX2nX4yWF+1aPjZlojw2nhho7eq2pPO5+vIWNwXdZ&#10;fj996Jf1qZPj9hC5XFo7GubmGZTQVe7im/vNpfn5OIf/b9IJe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lNjy8AAAA&#10;3QAAAA8AAAAAAAAAAQAgAAAAIgAAAGRycy9kb3ducmV2LnhtbFBLAQIUABQAAAAIAIdO4kAzLwWe&#10;OwAAADkAAAAQAAAAAAAAAAEAIAAAAAsBAABkcnMvc2hhcGV4bWwueG1sUEsFBgAAAAAGAAYAWwEA&#10;ALUDAAAAAA==&#10;">
                    <v:fill on="f" focussize="0,0"/>
                    <v:stroke on="f"/>
                    <v:imagedata r:id="rId26" o:title=""/>
                    <o:lock v:ext="edit" aspectratio="t"/>
                  </v:shape>
                  <v:group id="_x0000_s1026" o:spid="_x0000_s1026" o:spt="203" style="position:absolute;left:0;top:174563;height:1473177;width:3897313;" coordorigin="0,174563" coordsize="3897313,1473177" o:gfxdata="UEsDBAoAAAAAAIdO4kAAAAAAAAAAAAAAAAAEAAAAZHJzL1BLAwQUAAAACACHTuJAFjCLAL0AAADd&#10;AAAADwAAAGRycy9kb3ducmV2LnhtbEVPTYvCMBC9L/gfwgh7W9NUdpFqFBGVPYiwKoi3oRnbYjMp&#10;TWz132+Ehb3N433ObPGwteio9ZVjDWqUgCDOnam40HA6bj4mIHxANlg7Jg1P8rCYD95mmBnX8w91&#10;h1CIGMI+Qw1lCE0mpc9LsuhHriGO3NW1FkOEbSFNi30Mt7VMk+RLWqw4NpTY0Kqk/Ha4Ww3bHvvl&#10;WK273e26el6On/vzTpHW70OVTEEEeoR/8Z/728T5Kk3h9U08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jCLAL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0;top:241215;height:1406525;width:3897313;" coordorigin="0,241215" coordsize="3897313,1406525" o:gfxdata="UEsDBAoAAAAAAIdO4kAAAAAAAAAAAAAAAAAEAAAAZHJzL1BLAwQUAAAACACHTuJAeXwum7wAAADd&#10;AAAADwAAAGRycy9kb3ducmV2LnhtbEVPTYvCMBC9L/gfwgje1jTKLtI1yiIqHkRYFcTb0IxtsZmU&#10;Jrb67zeC4G0e73Om87utREuNLx1rUMMEBHHmTMm5huNh9TkB4QOywcoxaXiQh/ms9zHF1LiO/6jd&#10;h1zEEPYpaihCqFMpfVaQRT90NXHkLq6xGCJscmka7GK4reQoSb6lxZJjQ4E1LQrKrvub1bDusPsd&#10;q2W7vV4Wj/Pha3faKtJ60FfJD4hA9/AWv9wbE+er0Rie38QT5Ow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5fC6bvAAAAN0AAAAPAAAAAAAAAAEAIAAAACIAAABkcnMvZG93bnJldi54bWxQ&#10;SwECFAAUAAAACACHTuJAMy8FnjsAAAA5AAAAFQAAAAAAAAABACAAAAALAQAAZHJzL2dyb3Vwc2hh&#10;cGV4bWwueG1sUEsFBgAAAAAGAAYAYAEAAMgDAAAAAA==&#10;">
                      <o:lock v:ext="edit" aspectratio="f"/>
                      <v:group id="_x0000_s1026" o:spid="_x0000_s1026" o:spt="203" style="position:absolute;left:0;top:241215;height:1003300;width:647700;" coordorigin="0,241215" coordsize="596993,983651" o:gfxdata="UEsDBAoAAAAAAIdO4kAAAAAAAAAAAAAAAAAEAAAAZHJzL1BLAwQUAAAACACHTuJAmdkTdLwAAADd&#10;AAAADwAAAGRycy9kb3ducmV2LnhtbEVPTYvCMBC9L+x/CLPgbU2juEjXKIuoeBBhVRBvQzO2xWZS&#10;mtjqvzeC4G0e73Mms5utREuNLx1rUP0EBHHmTMm5hsN++T0G4QOywcoxabiTh9n082OCqXEd/1O7&#10;C7mIIexT1FCEUKdS+qwgi77vauLInV1jMUTY5NI02MVwW8lBkvxIiyXHhgJrmheUXXZXq2HVYfc3&#10;VIt2cznP76f9aHvcKNK696WSXxCBbuEtfrnXJs5Xgx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2RN0vAAAAN0AAAAPAAAAAAAAAAEAIAAAACIAAABkcnMvZG93bnJldi54bWxQ&#10;SwECFAAUAAAACACHTuJAMy8FnjsAAAA5AAAAFQAAAAAAAAABACAAAAALAQAAZHJzL2dyb3Vwc2hh&#10;cGV4bWwueG1sUEsFBgAAAAAGAAYAYAEAAMgDAAAAAA==&#10;">
                        <o:lock v:ext="edit" aspectratio="f"/>
                        <v:shape id="_x0000_s1026" o:spid="_x0000_s1026" o:spt="3" type="#_x0000_t3" style="position:absolute;left:89573;top:241215;height:386367;width:386367;v-text-anchor:middle;" fillcolor="#4472C4 [3204]" filled="t" stroked="f" coordsize="21600,21600" o:gfxdata="UEsDBAoAAAAAAIdO4kAAAAAAAAAAAAAAAAAEAAAAZHJzL1BLAwQUAAAACACHTuJAOBSFqL8AAADd&#10;AAAADwAAAGRycy9kb3ducmV2LnhtbEWPS2vDMBCE74H+B7GF3BLZJoTgRjG0UNpbyQOS49ZaP6i1&#10;MpJqu/31USCQ2y4zO9/stphMJwZyvrWsIF0mIIhLq1uuFZyO74sNCB+QNXaWScEfeSh2T7Mt5tqO&#10;vKfhEGoRQ9jnqKAJoc+l9GVDBv3S9sRRq6wzGOLqaqkdjjHcdDJLkrU02HIkNNjTW0Plz+HXRO7l&#10;9FVm1X91XNG3617PbviYnFLz5zR5ARFoCg/z/fpTx/pptobbN3EEub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Uhai/&#10;AAAA3Q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shape>
                        <v:shape id="任意多边形 51" o:spid="_x0000_s1026" o:spt="100" style="position:absolute;left:0;top:647127;height:577739;width:596993;v-text-anchor:middle;" fillcolor="#4472C4 [3204]" filled="t" stroked="f" coordsize="596993,577739" o:gfxdata="UEsDBAoAAAAAAIdO4kAAAAAAAAAAAAAAAAAEAAAAZHJzL1BLAwQUAAAACACHTuJAwDULNrkAAADd&#10;AAAADwAAAGRycy9kb3ducmV2LnhtbEVPy6rCMBDdC/5DGMGNaNourFSjC0VxdUG9dz80Y1NtJqWJ&#10;r783FwR3czjPWayethF36nztWEE6SUAQl07XXCn4PW3HMxA+IGtsHJOCF3lYLfu9BRbaPfhA92Oo&#10;RAxhX6ACE0JbSOlLQxb9xLXEkTu7zmKIsKuk7vARw20jsySZSos1xwaDLa0NldfjzSr4uWX1KR/l&#10;1eUv7JqdWZtNqo1Sw0GazEEEeoav+OPe6zg/zXL4/yaeIJ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A1Cza5AAAA3QAA&#10;AA8AAAAAAAAAAQAgAAAAIgAAAGRycy9kb3ducmV2LnhtbFBLAQIUABQAAAAIAIdO4kAzLwWeOwAA&#10;ADkAAAAQAAAAAAAAAAEAIAAAAAgBAABkcnMvc2hhcGV4bWwueG1sUEsFBgAAAAAGAAYAWwEAALID&#10;AAAAAA==&#10;" path="m96292,0l98873,0,296418,320162,493962,0,500701,0c553882,0,596993,43111,596993,96292l596993,481447c596993,534628,553882,577739,500701,577739l96292,577739c43111,577739,0,534628,0,481447l0,96292c0,43111,43111,0,96292,0xe">
                          <v:path o:connectlocs="96292,0;98873,0;296418,320162;493962,0;500701,0;596993,96292;596993,481447;500701,577739;96292,577739;0,481447;0,96292;96292,0" o:connectangles="0,0,0,0,0,0,0,0,0,0,0,0"/>
                          <v:fill on="t" focussize="0,0"/>
                          <v:stroke on="f" weight="1pt" miterlimit="8" joinstyle="miter"/>
                          <v:imagedata o:title=""/>
                          <o:lock v:ext="edit" aspectratio="f"/>
                        </v:shape>
                        <v:group id="_x0000_s1026" o:spid="_x0000_s1026" o:spt="203" style="position:absolute;left:170143;top:625774;height:116761;width:256705;" coordorigin="170143,625774" coordsize="412997,230928" o:gfxdata="UEsDBAoAAAAAAIdO4kAAAAAAAAAAAAAAAAAEAAAAZHJzL1BLAwQUAAAACACHTuJAd9i86sAAAADd&#10;AAAADwAAAGRycy9kb3ducmV2LnhtbEWPQWvCQBCF74X+h2UKvdXNWioluopIWzyIYCyU3obsmASz&#10;syG7TfTfO4eCtxnem/e+WawuvlUD9bEJbMFMMlDEZXANVxa+j58v76BiQnbYBiYLV4qwWj4+LDB3&#10;YeQDDUWqlIRwzNFCnVKXax3LmjzGSeiIRTuF3mOSta+063GUcN/qaZbNtMeGpaHGjjY1lefiz1v4&#10;GnFcv5qPYXc+ba6/x7f9z86Qtc9PJpuDSnRJd/P/9dYJvpkKrnwjI+jlD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9i86sAAAADdAAAADwAAAAAAAAABACAAAAAiAAAAZHJzL2Rvd25yZXYu&#10;eG1sUEsBAhQAFAAAAAgAh07iQDMvBZ47AAAAOQAAABUAAAAAAAAAAQAgAAAADwEAAGRycy9ncm91&#10;cHNoYXBleG1sLnhtbFBLBQYAAAAABgAGAGABAADMAwAAAAA=&#10;">
                          <o:lock v:ext="edit" aspectratio="f"/>
                          <v:shape id="_x0000_s1026" o:spid="_x0000_s1026" o:spt="5" type="#_x0000_t5" style="position:absolute;left:170589;top:625328;height:231819;width:230928;rotation:5898240f;v-text-anchor:middle;" fillcolor="#4472C4 [3204]" filled="t" stroked="f" coordsize="21600,21600" o:gfxdata="UEsDBAoAAAAAAIdO4kAAAAAAAAAAAAAAAAAEAAAAZHJzL1BLAwQUAAAACACHTuJA9Dt9B74AAADd&#10;AAAADwAAAGRycy9kb3ducmV2LnhtbEVPTWvCQBC9F/oflil4KXU3OYimrh5aBMHQ0ujF2zQ7TYLZ&#10;2ZDdJPrv3UKht3m8z1lvr7YVI/W+cawhmSsQxKUzDVcaTsfdyxKED8gGW8ek4UYetpvHhzVmxk38&#10;RWMRKhFD2GeooQ6hy6T0ZU0W/dx1xJH7cb3FEGFfSdPjFMNtK1OlFtJiw7Ghxo7eaiovxWA1DIf3&#10;S26S72X+LE+Lz+LD01nlWs+eEvUKItA1/Iv/3HsT5yfpCn6/iSfIz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Dt9B74A&#10;AADdAAAADwAAAAAAAAABACAAAAAiAAAAZHJzL2Rvd25yZXYueG1sUEsBAhQAFAAAAAgAh07iQDMv&#10;BZ47AAAAOQAAABAAAAAAAAAAAQAgAAAADQEAAGRycy9zaGFwZXhtbC54bWxQSwUGAAAAAAYABgBb&#10;AQAAtwMAAAAA&#10;" adj="10800">
                            <v:fill on="t" focussize="0,0"/>
                            <v:stroke on="f" weight="1pt" miterlimit="8" joinstyle="miter"/>
                            <v:imagedata o:title=""/>
                            <o:lock v:ext="edit" aspectratio="f"/>
                          </v:shape>
                          <v:shape id="_x0000_s1026" o:spid="_x0000_s1026" o:spt="5" type="#_x0000_t5" style="position:absolute;left:351767;top:625328;flip:x;height:231819;width:230928;rotation:5898240f;v-text-anchor:middle;" fillcolor="#4472C4 [3204]" filled="t" stroked="f" coordsize="21600,21600" o:gfxdata="UEsDBAoAAAAAAIdO4kAAAAAAAAAAAAAAAAAEAAAAZHJzL1BLAwQUAAAACACHTuJAcOsucsAAAADd&#10;AAAADwAAAGRycy9kb3ducmV2LnhtbEWPQWvCQBCF74X+h2UKvZS6SYsi0dWDKHooglEK3obsmASz&#10;syG7ifrvO4eCtxnem/e+mS/vrlEDdaH2bCAdJaCIC29rLg2cjpvPKagQkS02nsnAgwIsF68vc8ys&#10;v/GBhjyWSkI4ZGigirHNtA5FRQ7DyLfEol185zDK2pXadniTcNforySZaIc1S0OFLa0qKq557wzY&#10;7abPf8N4mB5O65+4Pfcf+zEZ8/6WJjNQke7xaf6/3lnBT7+FX76REf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6y5y&#10;wAAAAN0AAAAPAAAAAAAAAAEAIAAAACIAAABkcnMvZG93bnJldi54bWxQSwECFAAUAAAACACHTuJA&#10;My8FnjsAAAA5AAAAEAAAAAAAAAABACAAAAAPAQAAZHJzL3NoYXBleG1sLnhtbFBLBQYAAAAABgAG&#10;AFsBAAC5AwAAAAA=&#10;" adj="10800">
                            <v:fill on="t" focussize="0,0"/>
                            <v:stroke on="f" weight="1pt" miterlimit="8" joinstyle="miter"/>
                            <v:imagedata o:title=""/>
                            <o:lock v:ext="edit" aspectratio="f"/>
                          </v:shape>
                        </v:group>
                      </v:group>
                      <v:group id="_x0000_s1026" o:spid="_x0000_s1026" o:spt="203" style="position:absolute;left:966788;top:241215;height:1003300;width:647700;" coordorigin="966788,241215" coordsize="596993,983650" o:gfxdata="UEsDBAoAAAAAAIdO4kAAAAAAAAAAAAAAAAAEAAAAZHJzL1BLAwQUAAAACACHTuJAYzuDqr4AAADd&#10;AAAADwAAAGRycy9kb3ducmV2LnhtbEVPTWvCQBC9C/0PyxR6080aKpK6hhJq6UEKaqH0NmTHJCQ7&#10;G7LbRP99tyB4m8f7nE1+sZ0YafCNYw1qkYAgLp1puNLwddrN1yB8QDbYOSYNV/KQbx9mG8yMm/hA&#10;4zFUIoawz1BDHUKfSenLmiz6heuJI3d2g8UQ4VBJM+AUw20nl0mykhYbjg019lTUVLbHX6vhfcLp&#10;NVVv4749F9ef0/Pn916R1k+PKnkBEegS7uKb+8PE+SpV8P9NPEFu/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M7g6q+AAAA3QAAAA8AAAAAAAAAAQAgAAAAIgAAAGRycy9kb3ducmV2Lnht&#10;bFBLAQIUABQAAAAIAIdO4kAzLwWeOwAAADkAAAAVAAAAAAAAAAEAIAAAAA0BAABkcnMvZ3JvdXBz&#10;aGFwZXhtbC54bWxQSwUGAAAAAAYABgBgAQAAygMAAAAA&#10;">
                        <o:lock v:ext="edit" aspectratio="f"/>
                        <v:shape id="_x0000_s1026" o:spid="_x0000_s1026" o:spt="3" type="#_x0000_t3" style="position:absolute;left:1051817;top:241215;height:386367;width:386367;v-text-anchor:middle;" fillcolor="#FFAFAF" filled="t" stroked="f" coordsize="21600,21600" o:gfxdata="UEsDBAoAAAAAAIdO4kAAAAAAAAAAAAAAAAAEAAAAZHJzL1BLAwQUAAAACACHTuJAb9hqCLsAAADd&#10;AAAADwAAAGRycy9kb3ducmV2LnhtbEVP24rCMBB9F/YfwizsmyZ1VbQahRWEPi3ePmBoxrbYTLpN&#10;bPXvN4Lg2xzOdVabu61FR62vHGtIRgoEce5MxYWG82k3nIPwAdlg7Zg0PMjDZv0xWGFqXM8H6o6h&#10;EDGEfYoayhCaVEqfl2TRj1xDHLmLay2GCNtCmhb7GG5rOVZqJi1WHBtKbGhbUn493qyG7DY9+L+r&#10;WtTz/qHot8v2zc9E66/PRC1BBLqHt/jlzkycn3yP4flNPEG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9hqCLsAAADd&#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shape>
                        <v:group id="_x0000_s1026" o:spid="_x0000_s1026" o:spt="203" style="position:absolute;left:1120786;top:613987;height:115609;width:277988;" coordorigin="1120786,613987" coordsize="411650,183610" o:gfxdata="UEsDBAoAAAAAAIdO4kAAAAAAAAAAAAAAAAAEAAAAZHJzL1BLAwQUAAAACACHTuJA/KW4Rr0AAADd&#10;AAAADwAAAGRycy9kb3ducmV2LnhtbEVPTYvCMBC9L/gfwgje1jSWXaQaRUTFgyysCuJtaMa22ExK&#10;E1v995uFhb3N433OfPm0teio9ZVjDWqcgCDOnam40HA+bd+nIHxANlg7Jg0v8rBcDN7mmBnX8zd1&#10;x1CIGMI+Qw1lCE0mpc9LsujHriGO3M21FkOEbSFNi30Mt7WcJMmntFhxbCixoXVJ+f34sBp2Pfar&#10;VG26w/22fl1PH1+XgyKtR0OVzEAEeoZ/8Z97b+J8lab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W4Rr0AAADdAAAADwAAAAAAAAABACAAAAAiAAAAZHJzL2Rvd25yZXYueG1s&#10;UEsBAhQAFAAAAAgAh07iQDMvBZ47AAAAOQAAABUAAAAAAAAAAQAgAAAADAEAAGRycy9ncm91cHNo&#10;YXBleG1sLnhtbFBLBQYAAAAABgAGAGABAADJAwAAAAA=&#10;">
                          <o:lock v:ext="edit" aspectratio="f"/>
                          <v:shape id="_x0000_s1026" o:spid="_x0000_s1026" o:spt="3" type="#_x0000_t3" style="position:absolute;left:1120786;top:626867;height:105279;width:105279;v-text-anchor:middle;" fillcolor="#FCB0A6" filled="t" stroked="f" coordsize="21600,21600" o:gfxdata="UEsDBAoAAAAAAIdO4kAAAAAAAAAAAAAAAAAEAAAAZHJzL1BLAwQUAAAACACHTuJADvFTKb0AAADd&#10;AAAADwAAAGRycy9kb3ducmV2LnhtbEVPzWoCMRC+F3yHMEJvNZtqRbZGEVEqQg+uPsB0M90s3UzW&#10;Terq2xuh0Nt8fL8zX15dIy7UhdqzBjXKQBCX3tRcaTgdty8zECEiG2w8k4YbBVguBk9zzI3v+UCX&#10;IlYihXDIUYONsc2lDKUlh2HkW+LEffvOYUywq6TpsE/hrpGvWTaVDmtODRZbWlsqf4pfp6Ewfva1&#10;/5DnzX7Trz8nb8quTkrr56HK3kFEusZ/8Z97Z9J8NZ7A45t0gl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8VMpvQAA&#10;AN0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_x0000_s1026" o:spid="_x0000_s1026" o:spt="3" type="#_x0000_t3" style="position:absolute;left:1214076;top:692318;height:105279;width:105279;v-text-anchor:middle;" fillcolor="#FCB0A6" filled="t" stroked="f" coordsize="21600,21600" o:gfxdata="UEsDBAoAAAAAAIdO4kAAAAAAAAAAAAAAAAAEAAAAZHJzL1BLAwQUAAAACACHTuJAYb32sr0AAADd&#10;AAAADwAAAGRycy9kb3ducmV2LnhtbEVPzWoCMRC+F3yHMEJvNRutIlujiCgVoQdXH2C6mW6Wbibr&#10;Jrr69k2h0Nt8fL+zWN1dI27UhdqzBjXKQBCX3tRcaTifdi9zECEiG2w8k4YHBVgtB08LzI3v+Ui3&#10;IlYihXDIUYONsc2lDKUlh2HkW+LEffnOYUywq6TpsE/hrpHjLJtJhzWnBostbSyV38XVaSiMn38e&#10;3uVle9j2m4/XqbLrs9L6eaiyNxCR7vFf/OfemzRfTabw+006QS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vfayvQAA&#10;AN0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_x0000_s1026" o:spid="_x0000_s1026" o:spt="3" type="#_x0000_t3" style="position:absolute;left:1334757;top:692317;height:105279;width:105279;v-text-anchor:middle;" fillcolor="#FCB0A6" filled="t" stroked="f" coordsize="21600,21600" o:gfxdata="UEsDBAoAAAAAAIdO4kAAAAAAAAAAAAAAAAAEAAAAZHJzL1BLAwQUAAAACACHTuJAkW9oxb0AAADd&#10;AAAADwAAAGRycy9kb3ducmV2LnhtbEVPzWoCMRC+F3yHMEJvNZvaimyNIqJUhB5cfYDpZrpZupms&#10;m9TVt28Ewdt8fL8zW1xcI87UhdqzBjXKQBCX3tRcaTgeNi9TECEiG2w8k4YrBVjMB08zzI3veU/n&#10;IlYihXDIUYONsc2lDKUlh2HkW+LE/fjOYUywq6TpsE/hrpGvWTaRDmtODRZbWlkqf4s/p6Ewfvq9&#10;+5Sn9W7dr77e3pVdHpXWz0OVfYCIdIkP8d29NWm+Gk/g9k06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b2jFvQAA&#10;AN0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_x0000_s1026" o:spid="_x0000_s1026" o:spt="3" type="#_x0000_t3" style="position:absolute;left:1427157;top:613987;height:105279;width:105279;v-text-anchor:middle;" fillcolor="#FCB0A6" filled="t" stroked="f" coordsize="21600,21600" o:gfxdata="UEsDBAoAAAAAAIdO4kAAAAAAAAAAAAAAAAAEAAAAZHJzL1BLAwQUAAAACACHTuJA/iPNXr0AAADd&#10;AAAADwAAAGRycy9kb3ducmV2LnhtbEVPzWoCMRC+C75DGMFbzcZaK1ujiFhaBA9ufYDpZrpZupls&#10;N9HVt28KBW/z8f3Ocn11jbhQF2rPGtQkA0FcelNzpeH08fqwABEissHGM2m4UYD1ajhYYm58z0e6&#10;FLESKYRDjhpsjG0uZSgtOQwT3xIn7st3DmOCXSVNh30Kd42cZtlcOqw5NVhsaWup/C7OTkNh/OJz&#10;/yZ/dvtdvz3MnpTdnJTW45HKXkBEusa7+N/9btJ89fgMf9+kE+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81evQAA&#10;AN0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group>
                        <v:shape id="任意多边形 896" o:spid="_x0000_s1026" o:spt="100" style="position:absolute;left:966788;top:647126;height:577739;width:596993;v-text-anchor:middle;" fillcolor="#FFAFAF" filled="t" stroked="f" coordsize="596993,577739" o:gfxdata="UEsDBAoAAAAAAIdO4kAAAAAAAAAAAAAAAAAEAAAAZHJzL1BLAwQUAAAACACHTuJA1ThWnMAAAADd&#10;AAAADwAAAGRycy9kb3ducmV2LnhtbEWPS2sCQRCE74L/YeiAN50dhRhWRyGCeYAImlxya3ba3cWd&#10;nnVnfCS/Pn0QvHVT1VVfz5c336gLdbEObMGMMlDERXA1lxa+v9bDF1AxITtsApOFX4qwXPR7c8xd&#10;uPKOLvtUKgnhmKOFKqU21zoWFXmMo9ASi3YInccka1dq1+FVwn2jx1n2rD3WLA0VtrSqqDjuz96C&#10;O08/42sy79O37c/fcaUNb07G2sGTyWagEt3Sw3y//nCCbyaCK9/ICHr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OFac&#10;wAAAAN0AAAAPAAAAAAAAAAEAIAAAACIAAABkcnMvZG93bnJldi54bWxQSwECFAAUAAAACACHTuJA&#10;My8FnjsAAAA5AAAAEAAAAAAAAAABACAAAAAPAQAAZHJzL3NoYXBleG1sLnhtbFBLBQYAAAAABgAG&#10;AFsBAAC5AwAAAAA=&#10;" path="m96292,0l98873,0,296418,320162,493962,0,500701,0c553882,0,596993,43111,596993,96292l596993,101375,580931,133472c523164,257685,484526,369798,496600,404846c500624,416529,512497,431542,530218,447833l594250,495033,589426,518928c574808,553489,540587,577739,500701,577739l96292,577739c56407,577739,22185,553489,7567,518928l1283,487800,59726,444720c77447,428429,89319,413416,93344,401733c105417,366686,66780,254572,9012,130359l0,112350,0,96292c0,43111,43111,0,96292,0xe">
                          <v:path o:connectlocs="96292,0;98873,0;296418,320162;493962,0;500701,0;596993,96292;596993,101375;580931,133472;496600,404846;530218,447833;594250,495033;589426,518928;500701,577739;96292,577739;7567,518928;1283,487800;59726,444720;93344,401733;9012,130359;0,112350;0,96292;96292,0" o:connectangles="0,0,0,0,0,0,0,0,0,0,0,0,0,0,0,0,0,0,0,0,0,0"/>
                          <v:fill on="t" focussize="0,0"/>
                          <v:stroke on="f" weight="1pt" miterlimit="8" joinstyle="miter"/>
                          <v:imagedata o:title=""/>
                          <o:lock v:ext="edit" aspectratio="f"/>
                        </v:shape>
                      </v:group>
                      <v:group id="_x0000_s1026" o:spid="_x0000_s1026" o:spt="203" style="position:absolute;left:0;top:1525489;height:122237;width:647700;" coordorigin="0,1525502" coordsize="601244,118364" o:gfxdata="UEsDBAoAAAAAAIdO4kAAAAAAAAAAAAAAAAAEAAAAZHJzL1BLAwQUAAAACACHTuJAnU2PrL0AAADd&#10;AAAADwAAAGRycy9kb3ducmV2LnhtbEVPTWvCQBC9C/6HZQq96WYrFU1dRaSWHqRgFEpvQ3ZMgtnZ&#10;kF0T/feuUPA2j/c5i9XV1qKj1leONahxAoI4d6biQsPxsB3NQPiAbLB2TBpu5GG1HA4WmBrX8566&#10;LBQihrBPUUMZQpNK6fOSLPqxa4gjd3KtxRBhW0jTYh/DbS3fkmQqLVYcG0psaFNSfs4uVsNXj/16&#10;oj673fm0uf0d3n9+d4q0fn1RyQeIQNfwFP+7v02cryZz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U2PrL0AAADdAAAADwAAAAAAAAABACAAAAAiAAAAZHJzL2Rvd25yZXYueG1s&#10;UEsBAhQAFAAAAAgAh07iQDMvBZ47AAAAOQAAABUAAAAAAAAAAQAgAAAADAEAAGRycy9ncm91cHNo&#10;YXBleG1sLnhtbFBLBQYAAAAABgAGAGABAADJAwAAAAA=&#10;">
                        <o:lock v:ext="edit" aspectratio="f"/>
                        <v:rect id="_x0000_s1026" o:spid="_x0000_s1026" o:spt="1" style="position:absolute;left:0;top:1593383;height:50483;width:601244;v-text-anchor:middle;" filled="t" stroked="f" coordsize="21600,21600" o:gfxdata="UEsDBAoAAAAAAIdO4kAAAAAAAAAAAAAAAAAEAAAAZHJzL1BLAwQUAAAACACHTuJAXMSTUMAAAADd&#10;AAAADwAAAGRycy9kb3ducmV2LnhtbEWPQU/DMAyF70j7D5GRuLG0AwYqy3aYhEQPSLDtsKPVmLa0&#10;caoka7t/jw9I3Gy95/c+b3az69VIIbaeDeTLDBRx5W3LtYHT8e3+BVRMyBZ7z2TgShF228XNBgvr&#10;J/6i8ZBqJSEcCzTQpDQUWseqIYdx6Qdi0b59cJhkDbW2AScJd71eZdlaO2xZGhocaN9Q1R0uzkBX&#10;lu4yP1Vj+fnx/PMQpmt3PO+NubvNs1dQieb0b/67freCnz8Kv3wjI+jt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xJNQ&#10;wAAAAN0AAAAPAAAAAAAAAAEAIAAAACIAAABkcnMvZG93bnJldi54bWxQSwECFAAUAAAACACHTuJA&#10;My8FnjsAAAA5AAAAEAAAAAAAAAABACAAAAAPAQAAZHJzL3NoYXBleG1sLnhtbFBLBQYAAAAABgAG&#10;AFsBAAC5AwAAAAA=&#10;">
                          <v:fill on="t" focussize="0,0"/>
                          <v:stroke on="f" weight="1pt" miterlimit="8" joinstyle="miter"/>
                          <v:imagedata o:title=""/>
                          <o:lock v:ext="edit" aspectratio="f"/>
                        </v:rect>
                        <v:shape id="_x0000_s1026" o:spid="_x0000_s1026" o:spt="5" type="#_x0000_t5" style="position:absolute;left:239271;top:1525502;height:71686;width:103909;v-text-anchor:middle;" filled="t" stroked="f" coordsize="21600,21600" o:gfxdata="UEsDBAoAAAAAAIdO4kAAAAAAAAAAAAAAAAAEAAAAZHJzL1BLAwQUAAAACACHTuJAWIfAdrwAAADd&#10;AAAADwAAAGRycy9kb3ducmV2LnhtbEVPTWsCMRC9C/6HMEJvmmyxpWyNIoJQKhVq9dDbsBk3i5vJ&#10;sonu+u+NIHibx/uc2aJ3tbhQGyrPGrKJAkFceFNxqWH/tx5/gAgR2WDtmTRcKcBiPhzMMDe+41+6&#10;7GIpUgiHHDXYGJtcylBYchgmviFO3NG3DmOCbSlNi10Kd7V8VepdOqw4NVhsaGWpOO3OToO3yz3+&#10;b6b9t9ycl/5ne+jU20Hrl1GmPkFE6uNT/HB/mTQ/m2Zw/yadIO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HwHa8AAAA&#10;3QAAAA8AAAAAAAAAAQAgAAAAIgAAAGRycy9kb3ducmV2LnhtbFBLAQIUABQAAAAIAIdO4kAzLwWe&#10;OwAAADkAAAAQAAAAAAAAAAEAIAAAAAsBAABkcnMvc2hhcGV4bWwueG1sUEsFBgAAAAAGAAYAWwEA&#10;ALUDAAAAAA==&#10;" adj="10800">
                          <v:fill on="t" focussize="0,0"/>
                          <v:stroke on="f" weight="1pt" miterlimit="8" joinstyle="miter"/>
                          <v:imagedata o:title=""/>
                          <o:lock v:ext="edit" aspectratio="f"/>
                        </v:shape>
                      </v:group>
                      <v:group id="_x0000_s1026" o:spid="_x0000_s1026" o:spt="203" style="position:absolute;left:965200;top:1523915;height:123825;width:647700;" coordorigin="965200,1523915" coordsize="601244,118364" o:gfxdata="UEsDBAoAAAAAAIdO4kAAAAAAAAAAAAAAAAAEAAAAZHJzL1BLAwQUAAAACACHTuJAy+9uoL0AAADd&#10;AAAADwAAAGRycy9kb3ducmV2LnhtbEVPS2sCMRC+F/wPYYTeajZqi6wbRaQWD1KoCuJt2Mw+cDNZ&#10;Numu/vumUOhtPr7nZOu7bURPna8da1CTBARx7kzNpYbzafeyAOEDssHGMWl4kIf1avSUYWrcwF/U&#10;H0MpYgj7FDVUIbSplD6vyKKfuJY4coXrLIYIu1KaDocYbhs5TZI3abHm2FBhS9uK8tvx22r4GHDY&#10;zNR7f7gV28f19Pp5OSjS+nmskiWIQPfwL/5z702cr+ZT+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9uoL0AAADdAAAADwAAAAAAAAABACAAAAAiAAAAZHJzL2Rvd25yZXYueG1s&#10;UEsBAhQAFAAAAAgAh07iQDMvBZ47AAAAOQAAABUAAAAAAAAAAQAgAAAADAEAAGRycy9ncm91cHNo&#10;YXBleG1sLnhtbFBLBQYAAAAABgAGAGABAADJAwAAAAA=&#10;">
                        <o:lock v:ext="edit" aspectratio="f"/>
                        <v:rect id="_x0000_s1026" o:spid="_x0000_s1026" o:spt="1" style="position:absolute;left:965200;top:1591796;height:50483;width:601244;v-text-anchor:middle;" filled="t" stroked="f" coordsize="21600,21600" o:gfxdata="UEsDBAoAAAAAAIdO4kAAAAAAAAAAAAAAAAAEAAAAZHJzL1BLAwQUAAAACACHTuJArBYNJ74AAADd&#10;AAAADwAAAGRycy9kb3ducmV2LnhtbEVPTWvCQBC9C/0PyxR6001qtSW6ehAEcyjU2EOPQ3ZM0mRn&#10;w+6axH/fLRR6m8f7nO1+Mp0YyPnGsoJ0kYAgLq1uuFLweTnO30D4gKyxs0wK7uRhv3uYbTHTduQz&#10;DUWoRAxhn6GCOoQ+k9KXNRn0C9sTR+5qncEQoaukdjjGcNPJ5yRZS4MNx4YaezrUVLbFzSho89zc&#10;plU55B/vr99LN97by9dBqafHNNmACDSFf/Gf+6Tj/PRlCb/fxBPk7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BYNJ74A&#10;AADd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shape id="_x0000_s1026" o:spid="_x0000_s1026" o:spt="5" type="#_x0000_t5" style="position:absolute;left:1204471;top:1523915;height:71686;width:103909;v-text-anchor:middle;" filled="t" stroked="f" coordsize="21600,21600" o:gfxdata="UEsDBAoAAAAAAIdO4kAAAAAAAAAAAAAAAAAEAAAAZHJzL1BLAwQUAAAACACHTuJASPBj7r0AAADd&#10;AAAADwAAAGRycy9kb3ducmV2LnhtbEVP32vCMBB+F/wfwgl706TSDemMIoOBTDZY1Ye9Hc2tKWsu&#10;pYm2/vdmMNjbfXw/b70dXSuu1IfGs4ZsoUAQV940XGs4HV/nKxAhIhtsPZOGGwXYbqaTNRbGD/xJ&#10;1zLWIoVwKFCDjbErpAyVJYdh4TvixH373mFMsK+l6XFI4a6VS6WepMOGU4PFjl4sVT/lxWnwdnfC&#10;r0M+vsnDZeffP86Dejxr/TDL1DOISGP8F/+59ybNz/Icfr9JJ8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8GPuvQAA&#10;AN0AAAAPAAAAAAAAAAEAIAAAACIAAABkcnMvZG93bnJldi54bWxQSwECFAAUAAAACACHTuJAMy8F&#10;njsAAAA5AAAAEAAAAAAAAAABACAAAAAMAQAAZHJzL3NoYXBleG1sLnhtbFBLBQYAAAAABgAGAFsB&#10;AAC2AwAAAAA=&#10;" adj="10800">
                          <v:fill on="t" focussize="0,0"/>
                          <v:stroke on="f" weight="1pt" miterlimit="8" joinstyle="miter"/>
                          <v:imagedata o:title=""/>
                          <o:lock v:ext="edit" aspectratio="f"/>
                        </v:shape>
                      </v:group>
                      <v:group id="_x0000_s1026" o:spid="_x0000_s1026" o:spt="203" style="position:absolute;left:2254250;top:1520740;height:123825;width:1643063;" coordorigin="2254250,1520740" coordsize="1525589,108972" o:gfxdata="UEsDBAoAAAAAAIdO4kAAAAAAAAAAAAAAAAAEAAAAZHJzL1BLAwQUAAAACACHTuJARAb21L0AAADd&#10;AAAADwAAAGRycy9kb3ducmV2LnhtbEVPS2sCMRC+C/6HMEJvNZu2Flk3ikgtPUihKoi3YTP7wM1k&#10;2cRd/fdNoeBtPr7nZKubbURPna8da1DTBARx7kzNpYbjYfs8B+EDssHGMWm4k4fVcjzKMDVu4B/q&#10;96EUMYR9ihqqENpUSp9XZNFPXUscucJ1FkOEXSlNh0MMt418SZJ3abHm2FBhS5uK8sv+ajV8Djis&#10;X9VHv7sUm/v5MPs+7RRp/TRRyQJEoFt4iP/dXybOV28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Ab21L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2254250;top:1522363;height:107349;width:601217;" coordorigin="2254250,1522363" coordsize="601244,118364" o:gfxdata="UEsDBAoAAAAAAIdO4kAAAAAAAAAAAAAAAAAEAAAAZHJzL1BLAwQUAAAACACHTuJAtNRoo74AAADd&#10;AAAADwAAAGRycy9kb3ducmV2LnhtbEVPS2vCQBC+F/oflhF6q5u1KiVmlSK29CBCY0G8DdnJA7Oz&#10;IbtN9N+7hUJv8/E9J9tcbSsG6n3jWIOaJiCIC2carjR8H9+fX0H4gGywdUwabuRhs358yDA1buQv&#10;GvJQiRjCPkUNdQhdKqUvarLop64jjlzpeoshwr6SpscxhttWzpJkKS02HBtq7GhbU3HJf6yGjxHH&#10;txe1G/aXcns7HxeH016R1k8TlaxABLqGf/Gf+9PE+Wq+hN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TUaKO+AAAA3QAAAA8AAAAAAAAAAQAgAAAAIgAAAGRycy9kb3ducmV2Lnht&#10;bFBLAQIUABQAAAAIAIdO4kAzLwWeOwAAADkAAAAVAAAAAAAAAAEAIAAAAA0BAABkcnMvZ3JvdXBz&#10;aGFwZXhtbC54bWxQSwUGAAAAAAYABgBgAQAAygMAAAAA&#10;">
                          <o:lock v:ext="edit" aspectratio="f"/>
                          <v:rect id="_x0000_s1026" o:spid="_x0000_s1026" o:spt="1" style="position:absolute;left:2254250;top:1590244;height:50483;width:601244;v-text-anchor:middle;" fillcolor="#00B0F0" filled="t" stroked="f" coordsize="21600,21600" o:gfxdata="UEsDBAoAAAAAAIdO4kAAAAAAAAAAAAAAAAAEAAAAZHJzL1BLAwQUAAAACACHTuJAace9Yb0AAADd&#10;AAAADwAAAGRycy9kb3ducmV2LnhtbEVPTWsCMRC9C/0PYQRvmqyILVujB5eCVHuo9tDjsJnubk0m&#10;S5Kq7a9vBMHbPN7nLFYXZ8WJQuw8aygmCgRx7U3HjYaPw8v4CURMyAatZ9LwSxFWy4fBAkvjz/xO&#10;p31qRA7hWKKGNqW+lDLWLTmME98TZ+7LB4cpw9BIE/Ccw52VU6Xm0mHHuaHFntYt1cf9j9NQvVr7&#10;lz6r4A6qetv2tF3vvoPWo2GhnkEkuqS7+ObemDy/mD3C9Zt8g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x71hvQAA&#10;AN0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shape id="_x0000_s1026" o:spid="_x0000_s1026" o:spt="5" type="#_x0000_t5" style="position:absolute;left:2493521;top:1522363;height:71686;width:103909;v-text-anchor:middle;" fillcolor="#00B0F0" filled="t" stroked="f" coordsize="21600,21600" o:gfxdata="UEsDBAoAAAAAAIdO4kAAAAAAAAAAAAAAAAAEAAAAZHJzL1BLAwQUAAAACACHTuJAIzPf1b8AAADd&#10;AAAADwAAAGRycy9kb3ducmV2LnhtbEWPT2/CMAzF75P4DpGRdhtp0UCoIyANxOCCBHSHHb3Gayoa&#10;p2rCn317fJi0m633/N7P8+Xdt+pKfWwCG8hHGSjiKtiGawOf5eZlBiomZIttYDLwSxGWi8HTHAsb&#10;bnyk6ynVSkI4FmjApdQVWsfKkcc4Ch2xaD+h95hk7Wtte7xJuG/1OMum2mPD0uCwo5Wj6ny6eAPn&#10;cvuBYdYeLszfk/3Xdl2699KY52GevYFKdE//5r/rnRX8/FVw5RsZQS8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z39W/&#10;AAAA3QAAAA8AAAAAAAAAAQAgAAAAIgAAAGRycy9kb3ducmV2LnhtbFBLAQIUABQAAAAIAIdO4kAz&#10;LwWeOwAAADkAAAAQAAAAAAAAAAEAIAAAAA4BAABkcnMvc2hhcGV4bWwueG1sUEsFBgAAAAAGAAYA&#10;WwEAALgDAAAAAA==&#10;" adj="10800">
                            <v:fill on="t" focussize="0,0"/>
                            <v:stroke on="f" weight="1pt" miterlimit="8" joinstyle="miter"/>
                            <v:imagedata o:title=""/>
                            <o:lock v:ext="edit" aspectratio="f"/>
                          </v:shape>
                        </v:group>
                        <v:group id="_x0000_s1026" o:spid="_x0000_s1026" o:spt="203" style="position:absolute;left:3178622;top:1520740;height:107349;width:601217;" coordorigin="3178622,1520740" coordsize="601244,118364" o:gfxdata="UEsDBAoAAAAAAIdO4kAAAAAAAAAAAAAAAAAEAAAAZHJzL1BLAwQUAAAACACHTuJAxUv80b0AAADd&#10;AAAADwAAAGRycy9kb3ducmV2LnhtbEVPTWvCQBC9C/6HZQRvdbNqxUZXEbHSgwhqofQ2ZMckmJ0N&#10;2W2i/75bKHibx/uc5fpuK9FS40vHGtQoAUGcOVNyruHz8v4yB+EDssHKMWl4kIf1qt9bYmpcxydq&#10;zyEXMYR9ihqKEOpUSp8VZNGPXE0cuatrLIYIm1yaBrsYbis5TpKZtFhybCiwpm1B2e38YzXsO+w2&#10;E7VrD7fr9vF9eT1+HRRpPRyoZAEi0D08xf/uDxPnq+kb/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Uv80b0AAADdAAAADwAAAAAAAAABACAAAAAiAAAAZHJzL2Rvd25yZXYueG1s&#10;UEsBAhQAFAAAAAgAh07iQDMvBZ47AAAAOQAAABUAAAAAAAAAAQAgAAAADAEAAGRycy9ncm91cHNo&#10;YXBleG1sLnhtbFBLBQYAAAAABgAGAGABAADJAwAAAAA=&#10;">
                          <o:lock v:ext="edit" aspectratio="f"/>
                          <v:rect id="_x0000_s1026" o:spid="_x0000_s1026" o:spt="1" style="position:absolute;left:3178622;top:1588621;height:50483;width:601244;v-text-anchor:middle;" fillcolor="#00B050" filled="t" stroked="f" coordsize="21600,21600" o:gfxdata="UEsDBAoAAAAAAIdO4kAAAAAAAAAAAAAAAAAEAAAAZHJzL1BLAwQUAAAACACHTuJAfW5yAL8AAADd&#10;AAAADwAAAGRycy9kb3ducmV2LnhtbEWPQWvCQBCF70L/wzKF3nQTayWkroKVQj0UNO0PGLLTJDQ7&#10;G3ZXo//eOQjeZnhv3vtmtbm4Xp0pxM6zgXyWgSKuve24MfD78zktQMWEbLH3TAauFGGzfpqssLR+&#10;5COdq9QoCeFYooE2paHUOtYtOYwzPxCL9ueDwyRraLQNOEq46/U8y5baYcfS0OJAHy3V/9XJGZgX&#10;XbMN43ZxoO/xuC9219f9oTLm5TnP3kEluqSH+X79ZQU/fxN++UZG0O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ucgC/&#10;AAAA3Q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rect>
                          <v:shape id="_x0000_s1026" o:spid="_x0000_s1026" o:spt="5" type="#_x0000_t5" style="position:absolute;left:3417893;top:1520740;height:71686;width:103909;v-text-anchor:middle;" fillcolor="#00B050" filled="t" stroked="f" coordsize="21600,21600" o:gfxdata="UEsDBAoAAAAAAIdO4kAAAAAAAAAAAAAAAAAEAAAAZHJzL1BLAwQUAAAACACHTuJASeYSebcAAADd&#10;AAAADwAAAGRycy9kb3ducmV2LnhtbEVPSwrCMBDdC94hjOBGNK2iSDW68INu/RxgaMa22kxKE1u9&#10;vREEd/N431muX6YUDdWusKwgHkUgiFOrC84UXC/74RyE88gaS8uk4E0O1qtuZ4mJti2fqDn7TIQQ&#10;dgkqyL2vEildmpNBN7IVceButjboA6wzqWtsQ7gp5TiKZtJgwaEhx4o2OaWP89MoSO1scNw2pO/X&#10;U7tr53zIpu+JUv1eHC1AeHr5v/jnPuowP57G8P0mnCB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J5hJ5twAAAN0AAAAP&#10;AAAAAAAAAAEAIAAAACIAAABkcnMvZG93bnJldi54bWxQSwECFAAUAAAACACHTuJAMy8FnjsAAAA5&#10;AAAAEAAAAAAAAAABACAAAAAGAQAAZHJzL3NoYXBleG1sLnhtbFBLBQYAAAAABgAGAFsBAACwAwAA&#10;AAA=&#10;" adj="10800">
                            <v:fill on="t" focussize="0,0"/>
                            <v:stroke on="f" weight="1pt" miterlimit="8" joinstyle="miter"/>
                            <v:imagedata o:title=""/>
                            <o:lock v:ext="edit" aspectratio="f"/>
                          </v:shape>
                        </v:group>
                      </v:group>
                    </v:group>
                    <v:shape id="_x0000_s1026" o:spid="_x0000_s1026" o:spt="75" type="#_x0000_t75" style="position:absolute;left:2165952;top:174563;height:830106;width:918000;" filled="f" o:preferrelative="t" stroked="f" coordsize="21600,21600" o:gfxdata="UEsDBAoAAAAAAIdO4kAAAAAAAAAAAAAAAAAEAAAAZHJzL1BLAwQUAAAACACHTuJAiE3EBb0AAADd&#10;AAAADwAAAGRycy9kb3ducmV2LnhtbEVP22oCMRB9L/gPYYS+1WRLUbs1KyIoFbFQKz4Pm9kL3Uy2&#10;m9Rd/94Ihb7N4VxnsRxsIy7U+dqxhmSiQBDnztRcajh9bZ7mIHxANtg4Jg1X8rDMRg8LTI3r+ZMu&#10;x1CKGMI+RQ1VCG0qpc8rsugnriWOXOE6iyHCrpSmwz6G20Y+KzWVFmuODRW2tK4o/z7+Wg3yIM+z&#10;nVF2/7P9GF77wqym/qD14zhRbyACDeFf/Od+N3F+Mn+B+zfxBJn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TcQFvQAA&#10;AN0AAAAPAAAAAAAAAAEAIAAAACIAAABkcnMvZG93bnJldi54bWxQSwECFAAUAAAACACHTuJAMy8F&#10;njsAAAA5AAAAEAAAAAAAAAABACAAAAAMAQAAZHJzL3NoYXBleG1sLnhtbFBLBQYAAAAABgAGAFsB&#10;AAC2AwAAAAA=&#10;">
                      <v:fill on="f" focussize="0,0"/>
                      <v:stroke on="f"/>
                      <v:imagedata r:id="rId27" o:title=""/>
                      <o:lock v:ext="edit" aspectratio="t"/>
                    </v:shape>
                  </v:group>
                </v:group>
                <v:group id="_x0000_s1026" o:spid="_x0000_s1026" o:spt="203" style="position:absolute;left:2276067;top:867190;height:421467;width:1678406;" coordorigin="2276067,867190" coordsize="1678406,421467" o:gfxdata="UEsDBAoAAAAAAIdO4kAAAAAAAAAAAAAAAAAEAAAAZHJzL1BLAwQUAAAACACHTuJAv79MTrwAAADd&#10;AAAADwAAAGRycy9kb3ducmV2LnhtbEVPS4vCMBC+C/sfwgh70zQuilSjiKzLHkTwAeJtaMa22ExK&#10;k231328Ewdt8fM+ZL++2Ei01vnSsQQ0TEMSZMyXnGk7HzWAKwgdkg5Vj0vAgD8vFR2+OqXEd76k9&#10;hFzEEPYpaihCqFMpfVaQRT90NXHkrq6xGCJscmka7GK4reQoSSbSYsmxocCa1gVlt8Of1fDTYbf6&#10;Ut/t9nZdPy7H8e68VaT1Z18lMxCB7uEtfrl/TZyvpmN4fhNP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v0xOvAAAAN0AAAAPAAAAAAAAAAEAIAAAACIAAABkcnMvZG93bnJldi54bWxQ&#10;SwECFAAUAAAACACHTuJAMy8FnjsAAAA5AAAAFQAAAAAAAAABACAAAAALAQAAZHJzL2dyb3Vwc2hh&#10;cGV4bWwueG1sUEsFBgAAAAAGAAYAYAEAAMgDAAAAAA==&#10;">
                  <o:lock v:ext="edit" aspectratio="f"/>
                  <v:shape id="文本框 87" o:spid="_x0000_s1026" o:spt="202" type="#_x0000_t202" style="position:absolute;left:2276067;top:867190;height:377326;width:693420;" filled="f" stroked="f" coordsize="21600,21600" o:gfxdata="UEsDBAoAAAAAAIdO4kAAAAAAAAAAAAAAAAAEAAAAZHJzL1BLAwQUAAAACACHTuJA9aJ3Q74AAADd&#10;AAAADwAAAGRycy9kb3ducmV2LnhtbEWPT2vCQBDF7wW/wzJCb3U3xRaNrh4sgqeW+g+8DdkxCWZn&#10;Q3Y16bfvHAq9zfDevPeb5XrwjXpQF+vAFrKJAUVcBFdzaeF42L7MQMWE7LAJTBZ+KMJ6NXpaYu5C&#10;z9/02KdSSQjHHC1UKbW51rGoyGOchJZYtGvoPCZZu1K7DnsJ941+NeZde6xZGipsaVNRcdvfvYXT&#10;5/Vynpqv8sO/tX0YjGY/19Y+jzOzAJVoSP/mv+udE/xsLvzyjYy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aJ3Q7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sz w:val="21"/>
                              <w:szCs w:val="21"/>
                            </w:rPr>
                          </w:pPr>
                          <w:r>
                            <w:rPr>
                              <w:rFonts w:hint="eastAsia" w:ascii="黑体" w:hAnsi="黑体" w:eastAsia="黑体" w:cstheme="minorBidi"/>
                              <w:b/>
                              <w:bCs/>
                              <w:color w:val="00B0F0"/>
                              <w:kern w:val="24"/>
                              <w:sz w:val="28"/>
                              <w:szCs w:val="28"/>
                            </w:rPr>
                            <w:t>省内</w:t>
                          </w:r>
                        </w:p>
                      </w:txbxContent>
                    </v:textbox>
                  </v:shape>
                  <v:shape id="文本框 85" o:spid="_x0000_s1026" o:spt="202" type="#_x0000_t202" style="position:absolute;left:3261687;top:867190;height:421467;width:692786;" filled="f" stroked="f" coordsize="21600,21600" o:gfxdata="UEsDBAoAAAAAAIdO4kAAAAAAAAAAAAAAAAAEAAAAZHJzL1BLAwQUAAAACACHTuJABXDpNLwAAADd&#10;AAAADwAAAGRycy9kb3ducmV2LnhtbEVPTWvCQBC9C/6HZQq9md20Khqz8WAp9GRRW8HbkB2T0Oxs&#10;yG5N+u+7hYK3ebzPybejbcWNet841pAmCgRx6UzDlYaP0+tsBcIHZIOtY9LwQx62xXSSY2bcwAe6&#10;HUMlYgj7DDXUIXSZlL6syaJPXEccuavrLYYI+0qaHocYblv5pNRSWmw4NtTY0a6m8uv4bTV87q+X&#10;81y9Vy920Q1uVJLtWmr9+JCqDYhAY7iL/91vJs5P18/w9008QR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w6TS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sz w:val="28"/>
                              <w:szCs w:val="28"/>
                            </w:rPr>
                          </w:pPr>
                          <w:r>
                            <w:rPr>
                              <w:rFonts w:hint="eastAsia" w:ascii="黑体" w:hAnsi="黑体" w:eastAsia="黑体" w:cstheme="minorBidi"/>
                              <w:b/>
                              <w:bCs/>
                              <w:color w:val="00B050"/>
                              <w:kern w:val="24"/>
                              <w:sz w:val="28"/>
                              <w:szCs w:val="28"/>
                            </w:rPr>
                            <w:t>省外</w:t>
                          </w:r>
                        </w:p>
                      </w:txbxContent>
                    </v:textbox>
                  </v:shape>
                </v:group>
              </v:group>
            </w:pict>
          </mc:Fallback>
        </mc:AlternateContent>
      </w:r>
    </w:p>
    <w:p>
      <w:pPr>
        <w:pStyle w:val="203"/>
        <w:spacing w:before="156" w:after="156"/>
      </w:pPr>
      <w:bookmarkStart w:id="43" w:name="_Toc17276244"/>
    </w:p>
    <w:p>
      <w:pPr>
        <w:pStyle w:val="203"/>
        <w:spacing w:before="156" w:after="156"/>
      </w:pPr>
    </w:p>
    <w:tbl>
      <w:tblPr>
        <w:tblStyle w:val="214"/>
        <w:tblpPr w:leftFromText="180" w:rightFromText="180" w:vertAnchor="text" w:horzAnchor="page" w:tblpX="2585" w:tblpY="498"/>
        <w:tblW w:w="666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1276"/>
        <w:gridCol w:w="562"/>
        <w:gridCol w:w="1701"/>
        <w:gridCol w:w="14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701" w:type="dxa"/>
            <w:tcBorders>
              <w:top w:val="nil"/>
              <w:left w:val="nil"/>
              <w:right w:val="nil"/>
              <w:insideV w:val="nil"/>
            </w:tcBorders>
            <w:shd w:val="clear" w:color="auto" w:fill="auto"/>
            <w:vAlign w:val="center"/>
          </w:tcPr>
          <w:p>
            <w:pPr>
              <w:ind w:firstLine="525" w:firstLineChars="250"/>
              <w:rPr>
                <w:rFonts w:ascii="Times New Roman" w:hAnsi="Times New Roman" w:eastAsiaTheme="minorEastAsia"/>
                <w:b w:val="0"/>
                <w:bCs w:val="0"/>
                <w:color w:val="FFFFFF" w:themeColor="background1"/>
                <w:sz w:val="21"/>
                <w:szCs w:val="21"/>
                <w14:textFill>
                  <w14:solidFill>
                    <w14:schemeClr w14:val="bg1"/>
                  </w14:solidFill>
                </w14:textFill>
              </w:rPr>
            </w:pPr>
            <w:r>
              <w:rPr>
                <w:rFonts w:hint="eastAsia" w:ascii="Times New Roman" w:hAnsi="Times New Roman"/>
                <w:b/>
                <w:bCs/>
                <w:color w:val="000000"/>
                <w:sz w:val="21"/>
                <w:szCs w:val="21"/>
              </w:rPr>
              <w:t>2684</w:t>
            </w:r>
          </w:p>
        </w:tc>
        <w:tc>
          <w:tcPr>
            <w:tcW w:w="1276" w:type="dxa"/>
            <w:tcBorders>
              <w:top w:val="nil"/>
              <w:right w:val="nil"/>
              <w:insideV w:val="nil"/>
            </w:tcBorders>
            <w:shd w:val="clear" w:color="auto" w:fill="auto"/>
            <w:vAlign w:val="center"/>
          </w:tcPr>
          <w:p>
            <w:pPr>
              <w:jc w:val="center"/>
              <w:rPr>
                <w:rFonts w:ascii="Times New Roman" w:hAnsi="Times New Roman" w:eastAsiaTheme="minorEastAsia"/>
                <w:b w:val="0"/>
                <w:bCs w:val="0"/>
                <w:color w:val="FFFFFF" w:themeColor="background1"/>
                <w:sz w:val="21"/>
                <w:szCs w:val="21"/>
                <w14:textFill>
                  <w14:solidFill>
                    <w14:schemeClr w14:val="bg1"/>
                  </w14:solidFill>
                </w14:textFill>
              </w:rPr>
            </w:pPr>
            <w:r>
              <w:rPr>
                <w:rFonts w:hint="eastAsia" w:ascii="Times New Roman" w:hAnsi="Times New Roman"/>
                <w:b/>
                <w:bCs/>
                <w:color w:val="000000"/>
                <w:sz w:val="21"/>
                <w:szCs w:val="21"/>
              </w:rPr>
              <w:t>2427</w:t>
            </w:r>
          </w:p>
        </w:tc>
        <w:tc>
          <w:tcPr>
            <w:tcW w:w="562" w:type="dxa"/>
            <w:tcBorders>
              <w:top w:val="nil"/>
              <w:right w:val="nil"/>
              <w:insideV w:val="nil"/>
            </w:tcBorders>
            <w:shd w:val="clear" w:color="auto" w:fill="auto"/>
            <w:vAlign w:val="center"/>
          </w:tcPr>
          <w:p>
            <w:pPr>
              <w:jc w:val="center"/>
              <w:rPr>
                <w:rFonts w:ascii="Times New Roman" w:hAnsi="Times New Roman" w:eastAsiaTheme="minorEastAsia"/>
                <w:b w:val="0"/>
                <w:bCs w:val="0"/>
                <w:color w:val="000000"/>
                <w:sz w:val="21"/>
                <w:szCs w:val="21"/>
              </w:rPr>
            </w:pPr>
          </w:p>
        </w:tc>
        <w:tc>
          <w:tcPr>
            <w:tcW w:w="1701" w:type="dxa"/>
            <w:tcBorders>
              <w:top w:val="nil"/>
              <w:right w:val="nil"/>
              <w:insideV w:val="nil"/>
            </w:tcBorders>
            <w:shd w:val="clear" w:color="auto" w:fill="auto"/>
            <w:vAlign w:val="center"/>
          </w:tcPr>
          <w:p>
            <w:pPr>
              <w:jc w:val="center"/>
              <w:rPr>
                <w:rFonts w:ascii="Times New Roman" w:hAnsi="Times New Roman" w:eastAsiaTheme="minorEastAsia"/>
                <w:b w:val="0"/>
                <w:bCs w:val="0"/>
                <w:color w:val="FFFFFF" w:themeColor="background1"/>
                <w:sz w:val="21"/>
                <w:szCs w:val="21"/>
                <w14:textFill>
                  <w14:solidFill>
                    <w14:schemeClr w14:val="bg1"/>
                  </w14:solidFill>
                </w14:textFill>
              </w:rPr>
            </w:pPr>
            <w:r>
              <w:rPr>
                <w:rFonts w:ascii="Times New Roman" w:hAnsi="Times New Roman"/>
                <w:b/>
                <w:bCs/>
                <w:color w:val="000000"/>
                <w:sz w:val="21"/>
                <w:szCs w:val="21"/>
              </w:rPr>
              <w:t>4</w:t>
            </w:r>
            <w:r>
              <w:rPr>
                <w:rFonts w:hint="eastAsia" w:ascii="Times New Roman" w:hAnsi="Times New Roman"/>
                <w:b/>
                <w:bCs/>
                <w:color w:val="000000"/>
                <w:sz w:val="21"/>
                <w:szCs w:val="21"/>
              </w:rPr>
              <w:t>969</w:t>
            </w:r>
          </w:p>
        </w:tc>
        <w:tc>
          <w:tcPr>
            <w:tcW w:w="1422" w:type="dxa"/>
            <w:tcBorders>
              <w:top w:val="nil"/>
              <w:right w:val="nil"/>
              <w:insideV w:val="nil"/>
            </w:tcBorders>
            <w:shd w:val="clear" w:color="auto" w:fill="auto"/>
            <w:vAlign w:val="center"/>
          </w:tcPr>
          <w:p>
            <w:pPr>
              <w:jc w:val="center"/>
              <w:rPr>
                <w:rFonts w:ascii="Times New Roman" w:hAnsi="Times New Roman" w:eastAsiaTheme="minorEastAsia"/>
                <w:b w:val="0"/>
                <w:bCs w:val="0"/>
                <w:color w:val="FFFFFF" w:themeColor="background1"/>
                <w:sz w:val="21"/>
                <w:szCs w:val="21"/>
                <w14:textFill>
                  <w14:solidFill>
                    <w14:schemeClr w14:val="bg1"/>
                  </w14:solidFill>
                </w14:textFill>
              </w:rPr>
            </w:pPr>
            <w:r>
              <w:rPr>
                <w:rFonts w:hint="eastAsia" w:ascii="Times New Roman" w:hAnsi="Times New Roman"/>
                <w:b/>
                <w:bCs/>
                <w:color w:val="000000"/>
                <w:sz w:val="21"/>
                <w:szCs w:val="21"/>
              </w:rPr>
              <w:t>142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701" w:type="dxa"/>
            <w:tcBorders>
              <w:left w:val="nil"/>
            </w:tcBorders>
            <w:shd w:val="clear" w:color="auto" w:fill="auto"/>
            <w:vAlign w:val="center"/>
          </w:tcPr>
          <w:p>
            <w:pPr>
              <w:jc w:val="center"/>
              <w:rPr>
                <w:rFonts w:ascii="Times New Roman" w:hAnsi="Times New Roman" w:eastAsiaTheme="minorEastAsia"/>
                <w:b w:val="0"/>
                <w:bCs w:val="0"/>
                <w:color w:val="FFFFFF" w:themeColor="background1"/>
                <w:sz w:val="21"/>
                <w:szCs w:val="21"/>
                <w14:textFill>
                  <w14:solidFill>
                    <w14:schemeClr w14:val="bg1"/>
                  </w14:solidFill>
                </w14:textFill>
              </w:rPr>
            </w:pPr>
            <w:r>
              <w:rPr>
                <w:rFonts w:hint="eastAsia" w:ascii="Times New Roman" w:hAnsi="Times New Roman"/>
                <w:b/>
                <w:bCs/>
                <w:color w:val="000000"/>
                <w:sz w:val="21"/>
                <w:szCs w:val="21"/>
              </w:rPr>
              <w:t>52.51</w:t>
            </w:r>
            <w:r>
              <w:rPr>
                <w:rFonts w:ascii="Times New Roman" w:hAnsi="Times New Roman"/>
                <w:b/>
                <w:bCs/>
                <w:color w:val="000000"/>
                <w:sz w:val="21"/>
                <w:szCs w:val="21"/>
              </w:rPr>
              <w:t>%</w:t>
            </w:r>
          </w:p>
        </w:tc>
        <w:tc>
          <w:tcPr>
            <w:tcW w:w="1276" w:type="dxa"/>
            <w:shd w:val="clear" w:color="auto" w:fill="auto"/>
            <w:vAlign w:val="center"/>
          </w:tcPr>
          <w:p>
            <w:pPr>
              <w:jc w:val="center"/>
              <w:rPr>
                <w:rFonts w:ascii="Times New Roman" w:hAnsi="Times New Roman" w:eastAsiaTheme="minorEastAsia"/>
                <w:b/>
                <w:sz w:val="21"/>
                <w:szCs w:val="21"/>
              </w:rPr>
            </w:pPr>
            <w:r>
              <w:rPr>
                <w:rFonts w:hint="eastAsia" w:ascii="Times New Roman" w:hAnsi="Times New Roman"/>
                <w:b/>
                <w:color w:val="000000"/>
                <w:sz w:val="21"/>
                <w:szCs w:val="21"/>
              </w:rPr>
              <w:t>47.49</w:t>
            </w:r>
            <w:r>
              <w:rPr>
                <w:rFonts w:ascii="Times New Roman" w:hAnsi="Times New Roman"/>
                <w:b/>
                <w:color w:val="000000"/>
                <w:sz w:val="21"/>
                <w:szCs w:val="21"/>
              </w:rPr>
              <w:t>%</w:t>
            </w:r>
          </w:p>
        </w:tc>
        <w:tc>
          <w:tcPr>
            <w:tcW w:w="562" w:type="dxa"/>
            <w:shd w:val="clear" w:color="auto" w:fill="auto"/>
            <w:vAlign w:val="center"/>
          </w:tcPr>
          <w:p>
            <w:pPr>
              <w:jc w:val="center"/>
              <w:rPr>
                <w:rFonts w:ascii="Times New Roman" w:hAnsi="Times New Roman" w:eastAsiaTheme="minorEastAsia"/>
                <w:color w:val="000000"/>
                <w:sz w:val="21"/>
                <w:szCs w:val="21"/>
              </w:rPr>
            </w:pPr>
          </w:p>
        </w:tc>
        <w:tc>
          <w:tcPr>
            <w:tcW w:w="1701" w:type="dxa"/>
            <w:shd w:val="clear" w:color="auto" w:fill="auto"/>
            <w:vAlign w:val="center"/>
          </w:tcPr>
          <w:p>
            <w:pPr>
              <w:jc w:val="center"/>
              <w:rPr>
                <w:rFonts w:ascii="Times New Roman" w:hAnsi="Times New Roman" w:eastAsiaTheme="minorEastAsia"/>
                <w:b/>
                <w:sz w:val="21"/>
                <w:szCs w:val="21"/>
              </w:rPr>
            </w:pPr>
            <w:r>
              <w:rPr>
                <w:rFonts w:hint="eastAsia" w:ascii="Times New Roman" w:hAnsi="Times New Roman"/>
                <w:b/>
                <w:color w:val="000000"/>
                <w:sz w:val="21"/>
                <w:szCs w:val="21"/>
              </w:rPr>
              <w:t>97.22</w:t>
            </w:r>
            <w:r>
              <w:rPr>
                <w:rFonts w:ascii="Times New Roman" w:hAnsi="Times New Roman"/>
                <w:b/>
                <w:color w:val="000000"/>
                <w:sz w:val="21"/>
                <w:szCs w:val="21"/>
              </w:rPr>
              <w:t>%</w:t>
            </w:r>
          </w:p>
        </w:tc>
        <w:tc>
          <w:tcPr>
            <w:tcW w:w="1422" w:type="dxa"/>
            <w:shd w:val="clear" w:color="auto" w:fill="auto"/>
            <w:vAlign w:val="center"/>
          </w:tcPr>
          <w:p>
            <w:pPr>
              <w:jc w:val="center"/>
              <w:rPr>
                <w:rFonts w:ascii="Times New Roman" w:hAnsi="Times New Roman" w:eastAsiaTheme="minorEastAsia"/>
                <w:b/>
                <w:sz w:val="21"/>
                <w:szCs w:val="21"/>
              </w:rPr>
            </w:pPr>
            <w:r>
              <w:rPr>
                <w:rFonts w:hint="eastAsia" w:ascii="Times New Roman" w:hAnsi="Times New Roman"/>
                <w:b/>
                <w:color w:val="000000"/>
                <w:sz w:val="21"/>
                <w:szCs w:val="21"/>
              </w:rPr>
              <w:t>2.78</w:t>
            </w:r>
            <w:r>
              <w:rPr>
                <w:rFonts w:ascii="Times New Roman" w:hAnsi="Times New Roman"/>
                <w:b/>
                <w:color w:val="000000"/>
                <w:sz w:val="21"/>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2977" w:type="dxa"/>
            <w:gridSpan w:val="2"/>
            <w:tcBorders>
              <w:left w:val="nil"/>
              <w:bottom w:val="nil"/>
            </w:tcBorders>
            <w:shd w:val="clear" w:color="auto" w:fill="auto"/>
            <w:vAlign w:val="center"/>
          </w:tcPr>
          <w:p>
            <w:pPr>
              <w:spacing w:line="0" w:lineRule="atLeast"/>
              <w:jc w:val="center"/>
              <w:rPr>
                <w:rFonts w:ascii="微软雅黑" w:hAnsi="微软雅黑" w:eastAsia="微软雅黑"/>
                <w:b/>
                <w:bCs w:val="0"/>
                <w:color w:val="FFFFFF" w:themeColor="background1"/>
                <w:sz w:val="21"/>
                <w:szCs w:val="21"/>
                <w14:textFill>
                  <w14:solidFill>
                    <w14:schemeClr w14:val="bg1"/>
                  </w14:solidFill>
                </w14:textFill>
              </w:rPr>
            </w:pPr>
            <w:r>
              <w:rPr>
                <w:rFonts w:ascii="Times New Roman" w:hAnsi="Times New Roman"/>
                <w:b/>
                <w:bCs w:val="0"/>
                <w:color w:val="009DD9"/>
                <w:sz w:val="28"/>
                <w:szCs w:val="21"/>
              </w:rPr>
              <w:t>1.11</w:t>
            </w:r>
            <w:r>
              <w:rPr>
                <w:rFonts w:ascii="Times New Roman" w:hAnsi="Times New Roman"/>
                <w:b/>
                <w:bCs w:val="0"/>
                <w:color w:val="000000"/>
                <w:sz w:val="21"/>
                <w:szCs w:val="21"/>
              </w:rPr>
              <w:t>: 1</w:t>
            </w:r>
          </w:p>
        </w:tc>
        <w:tc>
          <w:tcPr>
            <w:tcW w:w="562" w:type="dxa"/>
            <w:shd w:val="clear" w:color="auto" w:fill="auto"/>
            <w:vAlign w:val="center"/>
          </w:tcPr>
          <w:p>
            <w:pPr>
              <w:spacing w:line="0" w:lineRule="atLeast"/>
              <w:jc w:val="center"/>
              <w:rPr>
                <w:rFonts w:ascii="Times New Roman" w:hAnsi="Times New Roman" w:eastAsia="微软雅黑"/>
                <w:b/>
                <w:color w:val="ED7D31" w:themeColor="accent2"/>
                <w:sz w:val="21"/>
                <w:szCs w:val="21"/>
                <w14:textFill>
                  <w14:solidFill>
                    <w14:schemeClr w14:val="accent2"/>
                  </w14:solidFill>
                </w14:textFill>
              </w:rPr>
            </w:pPr>
          </w:p>
        </w:tc>
        <w:tc>
          <w:tcPr>
            <w:tcW w:w="3123" w:type="dxa"/>
            <w:gridSpan w:val="2"/>
            <w:shd w:val="clear" w:color="auto" w:fill="auto"/>
            <w:vAlign w:val="center"/>
          </w:tcPr>
          <w:p>
            <w:pPr>
              <w:spacing w:line="0" w:lineRule="atLeast"/>
              <w:jc w:val="center"/>
              <w:rPr>
                <w:rFonts w:ascii="微软雅黑" w:hAnsi="微软雅黑" w:eastAsia="微软雅黑"/>
                <w:b/>
                <w:sz w:val="21"/>
                <w:szCs w:val="21"/>
              </w:rPr>
            </w:pPr>
            <w:r>
              <w:rPr>
                <w:rFonts w:ascii="Times New Roman" w:hAnsi="Times New Roman"/>
                <w:b/>
                <w:bCs/>
                <w:color w:val="009DD9"/>
                <w:sz w:val="28"/>
                <w:szCs w:val="21"/>
              </w:rPr>
              <w:t>34.99</w:t>
            </w:r>
            <w:r>
              <w:rPr>
                <w:rFonts w:hint="eastAsia" w:ascii="微软雅黑" w:hAnsi="微软雅黑" w:eastAsia="微软雅黑"/>
                <w:b/>
                <w:bCs/>
                <w:color w:val="000000"/>
                <w:sz w:val="21"/>
                <w:szCs w:val="21"/>
              </w:rPr>
              <w:t xml:space="preserve">: </w:t>
            </w:r>
            <w:r>
              <w:rPr>
                <w:rFonts w:ascii="Times New Roman" w:hAnsi="Times New Roman"/>
                <w:b/>
                <w:bCs/>
                <w:color w:val="000000"/>
                <w:sz w:val="21"/>
                <w:szCs w:val="21"/>
              </w:rPr>
              <w:t>1</w:t>
            </w:r>
          </w:p>
        </w:tc>
      </w:tr>
    </w:tbl>
    <w:p>
      <w:pPr>
        <w:pStyle w:val="203"/>
        <w:spacing w:before="156" w:after="156"/>
      </w:pPr>
    </w:p>
    <w:p>
      <w:pPr>
        <w:pStyle w:val="203"/>
        <w:spacing w:before="156" w:after="156"/>
      </w:pPr>
    </w:p>
    <w:p>
      <w:pPr>
        <w:pStyle w:val="203"/>
        <w:spacing w:before="156" w:after="156"/>
      </w:pPr>
    </w:p>
    <w:p>
      <w:pPr>
        <w:pStyle w:val="203"/>
        <w:spacing w:before="0" w:beforeLines="0" w:after="0" w:afterLines="0"/>
      </w:pPr>
      <w:bookmarkStart w:id="44" w:name="_Toc27002291"/>
      <w:r>
        <w:rPr>
          <w:rFonts w:hint="eastAsia"/>
        </w:rPr>
        <w:t xml:space="preserve">图1- </w:t>
      </w:r>
      <w:r>
        <w:fldChar w:fldCharType="begin"/>
      </w:r>
      <w:r>
        <w:instrText xml:space="preserve"> </w:instrText>
      </w:r>
      <w:r>
        <w:rPr>
          <w:rFonts w:hint="eastAsia"/>
        </w:rPr>
        <w:instrText xml:space="preserve">SEQ 图1- \* ARABIC</w:instrText>
      </w:r>
      <w:r>
        <w:instrText xml:space="preserve"> </w:instrText>
      </w:r>
      <w:r>
        <w:fldChar w:fldCharType="separate"/>
      </w:r>
      <w:r>
        <w:t>1</w:t>
      </w:r>
      <w:r>
        <w:fldChar w:fldCharType="end"/>
      </w:r>
      <w:r>
        <w:t xml:space="preserve">  </w:t>
      </w:r>
      <w:r>
        <w:rPr>
          <w:rFonts w:hint="eastAsia"/>
        </w:rPr>
        <w:t>2019届</w:t>
      </w:r>
      <w:r>
        <w:t>毕业生</w:t>
      </w:r>
      <w:r>
        <w:rPr>
          <w:rFonts w:hint="eastAsia"/>
        </w:rPr>
        <w:t>男女</w:t>
      </w:r>
      <w:r>
        <w:t>比例</w:t>
      </w:r>
      <w:r>
        <w:rPr>
          <w:rFonts w:hint="eastAsia"/>
        </w:rPr>
        <w:t>（左图）及省内外生源</w:t>
      </w:r>
      <w:r>
        <w:t>比例</w:t>
      </w:r>
      <w:r>
        <w:rPr>
          <w:rFonts w:hint="eastAsia"/>
        </w:rPr>
        <w:t>（右图）</w:t>
      </w:r>
      <w:bookmarkEnd w:id="43"/>
      <w:bookmarkEnd w:id="44"/>
    </w:p>
    <w:bookmarkEnd w:id="38"/>
    <w:bookmarkEnd w:id="39"/>
    <w:bookmarkEnd w:id="40"/>
    <w:bookmarkEnd w:id="41"/>
    <w:bookmarkEnd w:id="42"/>
    <w:p>
      <w:pPr>
        <w:pStyle w:val="132"/>
        <w:ind w:firstLine="360"/>
      </w:pPr>
      <w:bookmarkStart w:id="45" w:name="_Toc487789868"/>
      <w:bookmarkStart w:id="46" w:name="_Toc487790049"/>
      <w:r>
        <w:rPr>
          <w:rFonts w:hint="eastAsia"/>
        </w:rPr>
        <w:t>数据来源：安徽省教育厅就业系统。</w:t>
      </w:r>
    </w:p>
    <w:p>
      <w:pPr>
        <w:pStyle w:val="152"/>
        <w:rPr>
          <w:color w:val="4472C4" w:themeColor="accent1"/>
          <w14:textFill>
            <w14:solidFill>
              <w14:schemeClr w14:val="accent1"/>
            </w14:solidFill>
          </w14:textFill>
        </w:rPr>
      </w:pPr>
      <w:bookmarkStart w:id="47" w:name="_Toc27601810"/>
      <w:bookmarkStart w:id="48" w:name="_Toc520328891"/>
      <w:r>
        <w:rPr>
          <w:rFonts w:hint="eastAsia"/>
          <w:color w:val="4472C4" w:themeColor="accent1"/>
          <w14:textFill>
            <w14:solidFill>
              <w14:schemeClr w14:val="accent1"/>
            </w14:solidFill>
          </w14:textFill>
        </w:rPr>
        <w:t>（二</w:t>
      </w:r>
      <w:r>
        <w:rPr>
          <w:color w:val="4472C4" w:themeColor="accent1"/>
          <w14:textFill>
            <w14:solidFill>
              <w14:schemeClr w14:val="accent1"/>
            </w14:solidFill>
          </w14:textFill>
        </w:rPr>
        <w:t>）结构</w:t>
      </w:r>
      <w:bookmarkEnd w:id="45"/>
      <w:bookmarkEnd w:id="46"/>
      <w:r>
        <w:rPr>
          <w:rFonts w:hint="eastAsia"/>
          <w:color w:val="4472C4" w:themeColor="accent1"/>
          <w14:textFill>
            <w14:solidFill>
              <w14:schemeClr w14:val="accent1"/>
            </w14:solidFill>
          </w14:textFill>
        </w:rPr>
        <w:t>分布</w:t>
      </w:r>
      <w:bookmarkEnd w:id="47"/>
      <w:bookmarkEnd w:id="48"/>
    </w:p>
    <w:p>
      <w:pPr>
        <w:pStyle w:val="199"/>
        <w:spacing w:before="156" w:beforeLines="50" w:after="156" w:afterLines="50"/>
        <w:ind w:firstLine="482"/>
        <w:rPr>
          <w:rFonts w:hint="eastAsia"/>
        </w:rPr>
      </w:pPr>
      <w:r>
        <w:rPr>
          <w:rFonts w:hint="eastAsia"/>
          <w:b/>
          <w:color w:val="4472C4" w:themeColor="accent1"/>
          <w14:textFill>
            <w14:solidFill>
              <w14:schemeClr w14:val="accent1"/>
            </w14:solidFill>
          </w14:textFill>
        </w:rPr>
        <w:t>院系结构：</w:t>
      </w:r>
      <w:r>
        <w:rPr>
          <w:rFonts w:hint="eastAsia"/>
        </w:rPr>
        <w:t>学校</w:t>
      </w:r>
      <w:r>
        <w:t>2019届</w:t>
      </w:r>
      <w:r>
        <w:rPr>
          <w:rFonts w:hint="eastAsia"/>
        </w:rPr>
        <w:t>毕业生共分布在</w:t>
      </w:r>
      <w:r>
        <w:t>14</w:t>
      </w:r>
      <w:r>
        <w:rPr>
          <w:rFonts w:hint="eastAsia"/>
        </w:rPr>
        <w:t>个院系</w:t>
      </w:r>
      <w:r>
        <w:t>50</w:t>
      </w:r>
      <w:r>
        <w:rPr>
          <w:rFonts w:hint="eastAsia"/>
        </w:rPr>
        <w:t>个专业。其中，电子与信息工程学院、经济管理学院和艺术学院的毕业生人数位居前三，人数占比分别为</w:t>
      </w:r>
      <w:r>
        <w:t>14.46%</w:t>
      </w:r>
      <w:r>
        <w:rPr>
          <w:rFonts w:hint="eastAsia"/>
        </w:rPr>
        <w:t>、</w:t>
      </w:r>
      <w:r>
        <w:t>12.15%</w:t>
      </w:r>
      <w:r>
        <w:rPr>
          <w:rFonts w:hint="eastAsia"/>
        </w:rPr>
        <w:t>和</w:t>
      </w:r>
      <w:r>
        <w:t>9.51%</w:t>
      </w:r>
      <w:r>
        <w:rPr>
          <w:rFonts w:hint="eastAsia"/>
        </w:rPr>
        <w:t>。</w:t>
      </w:r>
    </w:p>
    <w:p>
      <w:pPr>
        <w:pStyle w:val="203"/>
        <w:spacing w:before="0" w:beforeLines="0" w:after="0" w:afterLines="0"/>
        <w:rPr>
          <w:bCs/>
        </w:rPr>
      </w:pPr>
      <w:bookmarkStart w:id="49" w:name="_Toc27002292"/>
      <w:r>
        <w:rPr>
          <w:rFonts w:hint="eastAsia"/>
        </w:rPr>
        <w:t xml:space="preserve">表1- </w:t>
      </w:r>
      <w:r>
        <w:fldChar w:fldCharType="begin"/>
      </w:r>
      <w:r>
        <w:instrText xml:space="preserve"> </w:instrText>
      </w:r>
      <w:r>
        <w:rPr>
          <w:rFonts w:hint="eastAsia"/>
        </w:rPr>
        <w:instrText xml:space="preserve">SEQ 表1- \* ARABIC</w:instrText>
      </w:r>
      <w:r>
        <w:instrText xml:space="preserve"> </w:instrText>
      </w:r>
      <w:r>
        <w:fldChar w:fldCharType="separate"/>
      </w:r>
      <w:r>
        <w:t>1</w:t>
      </w:r>
      <w:r>
        <w:fldChar w:fldCharType="end"/>
      </w:r>
      <w:r>
        <w:rPr>
          <w:b w:val="0"/>
          <w:bCs/>
        </w:rPr>
        <w:t xml:space="preserve">  </w:t>
      </w:r>
      <w:r>
        <w:rPr>
          <w:bCs/>
        </w:rPr>
        <w:t>2019届</w:t>
      </w:r>
      <w:r>
        <w:rPr>
          <w:rFonts w:hint="eastAsia"/>
          <w:bCs/>
        </w:rPr>
        <w:t>毕业生院系</w:t>
      </w:r>
      <w:r>
        <w:rPr>
          <w:bCs/>
        </w:rPr>
        <w:t>及专业</w:t>
      </w:r>
      <w:r>
        <w:rPr>
          <w:rFonts w:hint="eastAsia"/>
          <w:bCs/>
        </w:rPr>
        <w:t>分布</w:t>
      </w:r>
      <w:bookmarkEnd w:id="49"/>
    </w:p>
    <w:tbl>
      <w:tblPr>
        <w:tblStyle w:val="212"/>
        <w:tblW w:w="9572" w:type="dxa"/>
        <w:jc w:val="center"/>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Layout w:type="autofit"/>
        <w:tblCellMar>
          <w:top w:w="0" w:type="dxa"/>
          <w:left w:w="108" w:type="dxa"/>
          <w:bottom w:w="0" w:type="dxa"/>
          <w:right w:w="108" w:type="dxa"/>
        </w:tblCellMar>
      </w:tblPr>
      <w:tblGrid>
        <w:gridCol w:w="2393"/>
        <w:gridCol w:w="2539"/>
        <w:gridCol w:w="2247"/>
        <w:gridCol w:w="2393"/>
      </w:tblGrid>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tblHeader/>
          <w:jc w:val="center"/>
        </w:trPr>
        <w:tc>
          <w:tcPr>
            <w:tcW w:w="2393" w:type="dxa"/>
            <w:tcBorders>
              <w:top w:val="nil"/>
              <w:left w:val="nil"/>
              <w:bottom w:val="nil"/>
              <w:right w:val="nil"/>
              <w:insideV w:val="nil"/>
            </w:tcBorders>
            <w:shd w:val="clear" w:color="auto" w:fill="4472C4" w:themeFill="accent1"/>
            <w:noWrap/>
            <w:vAlign w:val="center"/>
          </w:tcPr>
          <w:p>
            <w:pPr>
              <w:pStyle w:val="220"/>
              <w:spacing w:before="0"/>
              <w:rPr>
                <w:rFonts w:eastAsiaTheme="minorEastAsia" w:cstheme="minorBidi"/>
                <w:b/>
                <w:bCs/>
                <w:color w:val="FFFFFF" w:themeColor="background1"/>
                <w14:textFill>
                  <w14:solidFill>
                    <w14:schemeClr w14:val="bg1"/>
                  </w14:solidFill>
                </w14:textFill>
              </w:rPr>
            </w:pPr>
            <w:bookmarkStart w:id="50" w:name="_Hlk520291309"/>
            <w:r>
              <w:rPr>
                <w:rFonts w:eastAsiaTheme="minorEastAsia" w:cstheme="minorBidi"/>
                <w:b/>
                <w:bCs/>
                <w:color w:val="FFFFFF" w:themeColor="background1"/>
                <w14:textFill>
                  <w14:solidFill>
                    <w14:schemeClr w14:val="bg1"/>
                  </w14:solidFill>
                </w14:textFill>
              </w:rPr>
              <w:t>院系</w:t>
            </w:r>
          </w:p>
        </w:tc>
        <w:tc>
          <w:tcPr>
            <w:tcW w:w="2539" w:type="dxa"/>
            <w:tcBorders>
              <w:top w:val="nil"/>
              <w:left w:val="nil"/>
              <w:bottom w:val="nil"/>
              <w:right w:val="nil"/>
              <w:insideV w:val="nil"/>
            </w:tcBorders>
            <w:shd w:val="clear" w:color="auto" w:fill="4472C4" w:themeFill="accent1"/>
            <w:noWrap/>
            <w:vAlign w:val="center"/>
          </w:tcPr>
          <w:p>
            <w:pPr>
              <w:pStyle w:val="220"/>
              <w:spacing w:before="0"/>
              <w:rPr>
                <w:rFonts w:eastAsiaTheme="minorEastAsia" w:cstheme="minorBidi"/>
                <w:b/>
                <w:bCs/>
                <w:color w:val="FFFFFF" w:themeColor="background1"/>
                <w14:textFill>
                  <w14:solidFill>
                    <w14:schemeClr w14:val="bg1"/>
                  </w14:solidFill>
                </w14:textFill>
              </w:rPr>
            </w:pPr>
            <w:r>
              <w:rPr>
                <w:rFonts w:eastAsiaTheme="minorEastAsia" w:cstheme="minorBidi"/>
                <w:b/>
                <w:bCs/>
                <w:color w:val="FFFFFF" w:themeColor="background1"/>
                <w14:textFill>
                  <w14:solidFill>
                    <w14:schemeClr w14:val="bg1"/>
                  </w14:solidFill>
                </w14:textFill>
              </w:rPr>
              <w:t>专业</w:t>
            </w:r>
          </w:p>
        </w:tc>
        <w:tc>
          <w:tcPr>
            <w:tcW w:w="2247" w:type="dxa"/>
            <w:tcBorders>
              <w:top w:val="nil"/>
              <w:left w:val="nil"/>
              <w:bottom w:val="nil"/>
              <w:right w:val="nil"/>
              <w:insideV w:val="nil"/>
            </w:tcBorders>
            <w:shd w:val="clear" w:color="auto" w:fill="4472C4" w:themeFill="accent1"/>
            <w:noWrap/>
            <w:vAlign w:val="center"/>
          </w:tcPr>
          <w:p>
            <w:pPr>
              <w:pStyle w:val="220"/>
              <w:spacing w:before="0"/>
              <w:rPr>
                <w:rFonts w:eastAsiaTheme="minorEastAsia" w:cstheme="minorBidi"/>
                <w:b/>
                <w:bCs/>
                <w:color w:val="FFFFFF" w:themeColor="background1"/>
                <w14:textFill>
                  <w14:solidFill>
                    <w14:schemeClr w14:val="bg1"/>
                  </w14:solidFill>
                </w14:textFill>
              </w:rPr>
            </w:pPr>
            <w:r>
              <w:rPr>
                <w:rFonts w:eastAsiaTheme="minorEastAsia" w:cstheme="minorBidi"/>
                <w:b/>
                <w:bCs/>
                <w:color w:val="FFFFFF" w:themeColor="background1"/>
                <w14:textFill>
                  <w14:solidFill>
                    <w14:schemeClr w14:val="bg1"/>
                  </w14:solidFill>
                </w14:textFill>
              </w:rPr>
              <w:t>人数</w:t>
            </w:r>
          </w:p>
        </w:tc>
        <w:tc>
          <w:tcPr>
            <w:tcW w:w="2393" w:type="dxa"/>
            <w:tcBorders>
              <w:top w:val="nil"/>
              <w:left w:val="nil"/>
              <w:bottom w:val="nil"/>
              <w:right w:val="nil"/>
              <w:insideV w:val="nil"/>
            </w:tcBorders>
            <w:shd w:val="clear" w:color="auto" w:fill="4472C4" w:themeFill="accent1"/>
            <w:noWrap/>
            <w:vAlign w:val="center"/>
          </w:tcPr>
          <w:p>
            <w:pPr>
              <w:pStyle w:val="220"/>
              <w:spacing w:before="0"/>
              <w:rPr>
                <w:rFonts w:eastAsiaTheme="minorEastAsia" w:cstheme="minorBidi"/>
                <w:b/>
                <w:bCs/>
                <w:color w:val="FFFFFF" w:themeColor="background1"/>
                <w14:textFill>
                  <w14:solidFill>
                    <w14:schemeClr w14:val="bg1"/>
                  </w14:solidFill>
                </w14:textFill>
              </w:rPr>
            </w:pPr>
            <w:r>
              <w:rPr>
                <w:rFonts w:eastAsiaTheme="minorEastAsia" w:cstheme="minorBidi"/>
                <w:b/>
                <w:bCs/>
                <w:color w:val="FFFFFF" w:themeColor="background1"/>
                <w14:textFill>
                  <w14:solidFill>
                    <w14:schemeClr w14:val="bg1"/>
                  </w14:solidFill>
                </w14:textFill>
              </w:rPr>
              <w:t>比例</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restart"/>
            <w:shd w:val="clear" w:color="auto" w:fill="4472C4" w:themeFill="accent1"/>
            <w:noWrap/>
            <w:vAlign w:val="center"/>
          </w:tcPr>
          <w:p>
            <w:pPr>
              <w:pStyle w:val="220"/>
              <w:spacing w:before="0"/>
              <w:rPr>
                <w:rFonts w:eastAsiaTheme="minorEastAsia" w:cstheme="minorBidi"/>
                <w:b/>
                <w:bCs/>
                <w:color w:val="FFFFFF" w:themeColor="background1"/>
                <w:szCs w:val="21"/>
                <w14:textFill>
                  <w14:solidFill>
                    <w14:schemeClr w14:val="bg1"/>
                  </w14:solidFill>
                </w14:textFill>
              </w:rPr>
            </w:pPr>
            <w:r>
              <w:rPr>
                <w:rFonts w:hint="eastAsia" w:eastAsiaTheme="minorEastAsia" w:cstheme="minorBidi"/>
                <w:b/>
                <w:bCs/>
                <w:color w:val="FFFFFF" w:themeColor="background1"/>
                <w:szCs w:val="21"/>
                <w14:textFill>
                  <w14:solidFill>
                    <w14:schemeClr w14:val="bg1"/>
                  </w14:solidFill>
                </w14:textFill>
              </w:rPr>
              <w:t>电子与信息工程学院</w:t>
            </w:r>
          </w:p>
        </w:tc>
        <w:tc>
          <w:tcPr>
            <w:tcW w:w="2539" w:type="dxa"/>
            <w:shd w:val="clear" w:color="auto" w:fill="D9E2F3" w:themeFill="accent1" w:themeFillTint="33"/>
            <w:noWrap/>
            <w:vAlign w:val="top"/>
          </w:tcPr>
          <w:p>
            <w:pPr>
              <w:pStyle w:val="220"/>
              <w:spacing w:before="0"/>
              <w:rPr>
                <w:rFonts w:eastAsiaTheme="minorEastAsia" w:cstheme="minorBidi"/>
              </w:rPr>
            </w:pPr>
            <w:r>
              <w:rPr>
                <w:rFonts w:hint="eastAsia" w:eastAsiaTheme="minorEastAsia" w:cstheme="minorBidi"/>
              </w:rPr>
              <w:t>电子信息工程</w:t>
            </w:r>
          </w:p>
        </w:tc>
        <w:tc>
          <w:tcPr>
            <w:tcW w:w="2247" w:type="dxa"/>
            <w:shd w:val="clear" w:color="auto" w:fill="D9E2F3" w:themeFill="accent1" w:themeFillTint="33"/>
            <w:noWrap/>
            <w:vAlign w:val="top"/>
          </w:tcPr>
          <w:p>
            <w:pPr>
              <w:pStyle w:val="220"/>
              <w:spacing w:before="0"/>
              <w:rPr>
                <w:rFonts w:eastAsiaTheme="minorEastAsia" w:cstheme="minorBidi"/>
                <w:color w:val="000000"/>
                <w:kern w:val="0"/>
                <w:szCs w:val="21"/>
              </w:rPr>
            </w:pPr>
            <w:r>
              <w:rPr>
                <w:rFonts w:eastAsiaTheme="minorEastAsia" w:cstheme="minorBidi"/>
              </w:rPr>
              <w:t>191</w:t>
            </w:r>
          </w:p>
        </w:tc>
        <w:tc>
          <w:tcPr>
            <w:tcW w:w="2393" w:type="dxa"/>
            <w:shd w:val="clear" w:color="auto" w:fill="D9E2F3" w:themeFill="accent1" w:themeFillTint="33"/>
            <w:noWrap/>
            <w:vAlign w:val="top"/>
          </w:tcPr>
          <w:p>
            <w:pPr>
              <w:pStyle w:val="220"/>
              <w:spacing w:before="0"/>
              <w:rPr>
                <w:rFonts w:eastAsiaTheme="minorEastAsia" w:cstheme="minorBidi"/>
                <w:color w:val="000000"/>
                <w:kern w:val="0"/>
                <w:szCs w:val="21"/>
              </w:rPr>
            </w:pPr>
            <w:r>
              <w:rPr>
                <w:rFonts w:eastAsiaTheme="minorEastAsia" w:cstheme="minorBidi"/>
              </w:rPr>
              <w:t>3.74%</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continue"/>
            <w:shd w:val="clear" w:color="auto" w:fill="4472C4" w:themeFill="accent1"/>
            <w:vAlign w:val="center"/>
          </w:tcPr>
          <w:p>
            <w:pPr>
              <w:pStyle w:val="220"/>
              <w:spacing w:before="0"/>
              <w:rPr>
                <w:rFonts w:eastAsiaTheme="minorEastAsia" w:cstheme="minorBidi"/>
                <w:b/>
                <w:bCs/>
                <w:color w:val="FFFFFF" w:themeColor="background1"/>
                <w14:textFill>
                  <w14:solidFill>
                    <w14:schemeClr w14:val="bg1"/>
                  </w14:solidFill>
                </w14:textFill>
              </w:rPr>
            </w:pPr>
          </w:p>
        </w:tc>
        <w:tc>
          <w:tcPr>
            <w:tcW w:w="2539" w:type="dxa"/>
            <w:noWrap/>
            <w:vAlign w:val="top"/>
          </w:tcPr>
          <w:p>
            <w:pPr>
              <w:pStyle w:val="220"/>
              <w:spacing w:before="0"/>
              <w:rPr>
                <w:rFonts w:eastAsiaTheme="minorEastAsia" w:cstheme="minorBidi"/>
              </w:rPr>
            </w:pPr>
            <w:r>
              <w:rPr>
                <w:rFonts w:hint="eastAsia" w:eastAsiaTheme="minorEastAsia" w:cstheme="minorBidi"/>
              </w:rPr>
              <w:t>通信工程</w:t>
            </w:r>
          </w:p>
        </w:tc>
        <w:tc>
          <w:tcPr>
            <w:tcW w:w="2247" w:type="dxa"/>
            <w:noWrap/>
            <w:vAlign w:val="top"/>
          </w:tcPr>
          <w:p>
            <w:pPr>
              <w:pStyle w:val="220"/>
              <w:spacing w:before="0"/>
              <w:rPr>
                <w:rFonts w:eastAsiaTheme="minorEastAsia" w:cstheme="minorBidi"/>
              </w:rPr>
            </w:pPr>
            <w:r>
              <w:rPr>
                <w:rFonts w:eastAsiaTheme="minorEastAsia" w:cstheme="minorBidi"/>
              </w:rPr>
              <w:t>152</w:t>
            </w:r>
          </w:p>
        </w:tc>
        <w:tc>
          <w:tcPr>
            <w:tcW w:w="2393" w:type="dxa"/>
            <w:noWrap/>
            <w:vAlign w:val="top"/>
          </w:tcPr>
          <w:p>
            <w:pPr>
              <w:pStyle w:val="220"/>
              <w:spacing w:before="0"/>
              <w:rPr>
                <w:rFonts w:eastAsiaTheme="minorEastAsia" w:cstheme="minorBidi"/>
              </w:rPr>
            </w:pPr>
            <w:r>
              <w:rPr>
                <w:rFonts w:eastAsiaTheme="minorEastAsia" w:cstheme="minorBidi"/>
              </w:rPr>
              <w:t>2.97%</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continue"/>
            <w:shd w:val="clear" w:color="auto" w:fill="4472C4" w:themeFill="accent1"/>
            <w:vAlign w:val="center"/>
          </w:tcPr>
          <w:p>
            <w:pPr>
              <w:pStyle w:val="220"/>
              <w:spacing w:before="0"/>
              <w:rPr>
                <w:rFonts w:eastAsiaTheme="minorEastAsia" w:cstheme="minorBidi"/>
                <w:b/>
                <w:bCs/>
                <w:color w:val="FFFFFF" w:themeColor="background1"/>
                <w14:textFill>
                  <w14:solidFill>
                    <w14:schemeClr w14:val="bg1"/>
                  </w14:solidFill>
                </w14:textFill>
              </w:rPr>
            </w:pPr>
          </w:p>
        </w:tc>
        <w:tc>
          <w:tcPr>
            <w:tcW w:w="2539" w:type="dxa"/>
            <w:shd w:val="clear" w:color="auto" w:fill="D9E2F3" w:themeFill="accent1" w:themeFillTint="33"/>
            <w:noWrap/>
            <w:vAlign w:val="top"/>
          </w:tcPr>
          <w:p>
            <w:pPr>
              <w:pStyle w:val="220"/>
              <w:spacing w:before="0"/>
              <w:rPr>
                <w:rFonts w:eastAsiaTheme="minorEastAsia" w:cstheme="minorBidi"/>
              </w:rPr>
            </w:pPr>
            <w:r>
              <w:rPr>
                <w:rFonts w:hint="eastAsia" w:eastAsiaTheme="minorEastAsia" w:cstheme="minorBidi"/>
              </w:rPr>
              <w:t>计算机科学与技术</w:t>
            </w:r>
          </w:p>
        </w:tc>
        <w:tc>
          <w:tcPr>
            <w:tcW w:w="2247" w:type="dxa"/>
            <w:shd w:val="clear" w:color="auto" w:fill="D9E2F3" w:themeFill="accent1" w:themeFillTint="33"/>
            <w:noWrap/>
            <w:vAlign w:val="top"/>
          </w:tcPr>
          <w:p>
            <w:pPr>
              <w:pStyle w:val="220"/>
              <w:spacing w:before="0"/>
              <w:rPr>
                <w:rFonts w:eastAsiaTheme="minorEastAsia" w:cstheme="minorBidi"/>
              </w:rPr>
            </w:pPr>
            <w:r>
              <w:rPr>
                <w:rFonts w:eastAsiaTheme="minorEastAsia" w:cstheme="minorBidi"/>
              </w:rPr>
              <w:t>151</w:t>
            </w:r>
          </w:p>
        </w:tc>
        <w:tc>
          <w:tcPr>
            <w:tcW w:w="2393" w:type="dxa"/>
            <w:shd w:val="clear" w:color="auto" w:fill="D9E2F3" w:themeFill="accent1" w:themeFillTint="33"/>
            <w:noWrap/>
            <w:vAlign w:val="top"/>
          </w:tcPr>
          <w:p>
            <w:pPr>
              <w:pStyle w:val="220"/>
              <w:spacing w:before="0"/>
              <w:rPr>
                <w:rFonts w:eastAsiaTheme="minorEastAsia" w:cstheme="minorBidi"/>
              </w:rPr>
            </w:pPr>
            <w:r>
              <w:rPr>
                <w:rFonts w:eastAsiaTheme="minorEastAsia" w:cstheme="minorBidi"/>
              </w:rPr>
              <w:t>2.95%</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continue"/>
            <w:shd w:val="clear" w:color="auto" w:fill="4472C4" w:themeFill="accent1"/>
            <w:vAlign w:val="center"/>
          </w:tcPr>
          <w:p>
            <w:pPr>
              <w:pStyle w:val="220"/>
              <w:spacing w:before="0"/>
              <w:rPr>
                <w:rFonts w:eastAsiaTheme="minorEastAsia" w:cstheme="minorBidi"/>
                <w:b/>
                <w:bCs/>
                <w:color w:val="FFFFFF" w:themeColor="background1"/>
                <w14:textFill>
                  <w14:solidFill>
                    <w14:schemeClr w14:val="bg1"/>
                  </w14:solidFill>
                </w14:textFill>
              </w:rPr>
            </w:pPr>
          </w:p>
        </w:tc>
        <w:tc>
          <w:tcPr>
            <w:tcW w:w="2539" w:type="dxa"/>
            <w:noWrap/>
            <w:vAlign w:val="top"/>
          </w:tcPr>
          <w:p>
            <w:pPr>
              <w:pStyle w:val="220"/>
              <w:spacing w:before="0"/>
              <w:rPr>
                <w:rFonts w:eastAsiaTheme="minorEastAsia" w:cstheme="minorBidi"/>
              </w:rPr>
            </w:pPr>
            <w:r>
              <w:rPr>
                <w:rFonts w:hint="eastAsia" w:eastAsiaTheme="minorEastAsia" w:cstheme="minorBidi"/>
              </w:rPr>
              <w:t>网络工程</w:t>
            </w:r>
          </w:p>
        </w:tc>
        <w:tc>
          <w:tcPr>
            <w:tcW w:w="2247" w:type="dxa"/>
            <w:noWrap/>
            <w:vAlign w:val="top"/>
          </w:tcPr>
          <w:p>
            <w:pPr>
              <w:pStyle w:val="220"/>
              <w:spacing w:before="0"/>
              <w:rPr>
                <w:rFonts w:eastAsiaTheme="minorEastAsia" w:cstheme="minorBidi"/>
              </w:rPr>
            </w:pPr>
            <w:r>
              <w:rPr>
                <w:rFonts w:eastAsiaTheme="minorEastAsia" w:cstheme="minorBidi"/>
              </w:rPr>
              <w:t>144</w:t>
            </w:r>
          </w:p>
        </w:tc>
        <w:tc>
          <w:tcPr>
            <w:tcW w:w="2393" w:type="dxa"/>
            <w:noWrap/>
            <w:vAlign w:val="top"/>
          </w:tcPr>
          <w:p>
            <w:pPr>
              <w:pStyle w:val="220"/>
              <w:spacing w:before="0"/>
              <w:rPr>
                <w:rFonts w:eastAsiaTheme="minorEastAsia" w:cstheme="minorBidi"/>
              </w:rPr>
            </w:pPr>
            <w:r>
              <w:rPr>
                <w:rFonts w:eastAsiaTheme="minorEastAsia" w:cstheme="minorBidi"/>
              </w:rPr>
              <w:t>2.82%</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continue"/>
            <w:shd w:val="clear" w:color="auto" w:fill="4472C4" w:themeFill="accent1"/>
            <w:vAlign w:val="center"/>
          </w:tcPr>
          <w:p>
            <w:pPr>
              <w:pStyle w:val="220"/>
              <w:spacing w:before="0"/>
              <w:rPr>
                <w:rFonts w:eastAsiaTheme="minorEastAsia" w:cstheme="minorBidi"/>
                <w:b/>
                <w:bCs/>
                <w:color w:val="FFFFFF" w:themeColor="background1"/>
                <w14:textFill>
                  <w14:solidFill>
                    <w14:schemeClr w14:val="bg1"/>
                  </w14:solidFill>
                </w14:textFill>
              </w:rPr>
            </w:pPr>
          </w:p>
        </w:tc>
        <w:tc>
          <w:tcPr>
            <w:tcW w:w="2539" w:type="dxa"/>
            <w:shd w:val="clear" w:color="auto" w:fill="D9E2F3" w:themeFill="accent1" w:themeFillTint="33"/>
            <w:noWrap/>
            <w:vAlign w:val="top"/>
          </w:tcPr>
          <w:p>
            <w:pPr>
              <w:pStyle w:val="220"/>
              <w:spacing w:before="0"/>
              <w:rPr>
                <w:rFonts w:eastAsiaTheme="minorEastAsia" w:cstheme="minorBidi"/>
              </w:rPr>
            </w:pPr>
            <w:r>
              <w:rPr>
                <w:rFonts w:hint="eastAsia" w:eastAsiaTheme="minorEastAsia" w:cstheme="minorBidi"/>
              </w:rPr>
              <w:t>电子信息科学与技术</w:t>
            </w:r>
          </w:p>
        </w:tc>
        <w:tc>
          <w:tcPr>
            <w:tcW w:w="2247" w:type="dxa"/>
            <w:shd w:val="clear" w:color="auto" w:fill="D9E2F3" w:themeFill="accent1" w:themeFillTint="33"/>
            <w:noWrap/>
            <w:vAlign w:val="top"/>
          </w:tcPr>
          <w:p>
            <w:pPr>
              <w:pStyle w:val="220"/>
              <w:spacing w:before="0"/>
              <w:rPr>
                <w:rFonts w:eastAsiaTheme="minorEastAsia" w:cstheme="minorBidi"/>
              </w:rPr>
            </w:pPr>
            <w:r>
              <w:rPr>
                <w:rFonts w:eastAsiaTheme="minorEastAsia" w:cstheme="minorBidi"/>
              </w:rPr>
              <w:t>101</w:t>
            </w:r>
          </w:p>
        </w:tc>
        <w:tc>
          <w:tcPr>
            <w:tcW w:w="2393" w:type="dxa"/>
            <w:shd w:val="clear" w:color="auto" w:fill="D9E2F3" w:themeFill="accent1" w:themeFillTint="33"/>
            <w:noWrap/>
            <w:vAlign w:val="top"/>
          </w:tcPr>
          <w:p>
            <w:pPr>
              <w:pStyle w:val="220"/>
              <w:spacing w:before="0"/>
              <w:rPr>
                <w:rFonts w:eastAsiaTheme="minorEastAsia" w:cstheme="minorBidi"/>
              </w:rPr>
            </w:pPr>
            <w:r>
              <w:rPr>
                <w:rFonts w:eastAsiaTheme="minorEastAsia" w:cstheme="minorBidi"/>
              </w:rPr>
              <w:t>1.98%</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continue"/>
            <w:shd w:val="clear" w:color="auto" w:fill="4472C4" w:themeFill="accent1"/>
            <w:vAlign w:val="center"/>
          </w:tcPr>
          <w:p>
            <w:pPr>
              <w:pStyle w:val="220"/>
              <w:spacing w:before="100"/>
              <w:rPr>
                <w:rFonts w:eastAsiaTheme="minorEastAsia" w:cstheme="minorBidi"/>
                <w:b/>
                <w:bCs/>
                <w:color w:val="FFFFFF" w:themeColor="background1"/>
                <w14:textFill>
                  <w14:solidFill>
                    <w14:schemeClr w14:val="bg1"/>
                  </w14:solidFill>
                </w14:textFill>
              </w:rPr>
            </w:pPr>
          </w:p>
        </w:tc>
        <w:tc>
          <w:tcPr>
            <w:tcW w:w="2539" w:type="dxa"/>
            <w:noWrap/>
            <w:vAlign w:val="center"/>
          </w:tcPr>
          <w:p>
            <w:pPr>
              <w:pStyle w:val="220"/>
              <w:spacing w:before="0"/>
              <w:rPr>
                <w:rFonts w:eastAsiaTheme="minorEastAsia" w:cstheme="minorBidi"/>
                <w:b/>
              </w:rPr>
            </w:pPr>
            <w:r>
              <w:rPr>
                <w:rFonts w:hint="eastAsia" w:eastAsiaTheme="minorEastAsia" w:cstheme="minorBidi"/>
                <w:b/>
              </w:rPr>
              <w:t>小计</w:t>
            </w:r>
          </w:p>
        </w:tc>
        <w:tc>
          <w:tcPr>
            <w:tcW w:w="2247" w:type="dxa"/>
            <w:noWrap/>
            <w:vAlign w:val="top"/>
          </w:tcPr>
          <w:p>
            <w:pPr>
              <w:pStyle w:val="220"/>
              <w:spacing w:before="0"/>
              <w:rPr>
                <w:rFonts w:eastAsiaTheme="minorEastAsia" w:cstheme="minorBidi"/>
                <w:b/>
                <w:bCs/>
              </w:rPr>
            </w:pPr>
            <w:r>
              <w:rPr>
                <w:rFonts w:eastAsiaTheme="minorEastAsia" w:cstheme="minorBidi"/>
                <w:b/>
                <w:bCs/>
              </w:rPr>
              <w:t>739</w:t>
            </w:r>
          </w:p>
        </w:tc>
        <w:tc>
          <w:tcPr>
            <w:tcW w:w="2393" w:type="dxa"/>
            <w:noWrap/>
            <w:vAlign w:val="top"/>
          </w:tcPr>
          <w:p>
            <w:pPr>
              <w:pStyle w:val="220"/>
              <w:spacing w:before="0"/>
              <w:rPr>
                <w:rFonts w:eastAsiaTheme="minorEastAsia" w:cstheme="minorBidi"/>
                <w:b/>
                <w:bCs/>
              </w:rPr>
            </w:pPr>
            <w:r>
              <w:rPr>
                <w:rFonts w:eastAsiaTheme="minorEastAsia" w:cstheme="minorBidi"/>
                <w:b/>
                <w:bCs/>
              </w:rPr>
              <w:t>14.46%</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restart"/>
            <w:shd w:val="clear" w:color="auto" w:fill="4472C4" w:themeFill="accent1"/>
            <w:noWrap/>
            <w:vAlign w:val="center"/>
          </w:tcPr>
          <w:p>
            <w:pPr>
              <w:pStyle w:val="220"/>
              <w:spacing w:before="0"/>
              <w:rPr>
                <w:rFonts w:eastAsiaTheme="minorEastAsia" w:cstheme="minorBidi"/>
                <w:b/>
                <w:bCs/>
                <w:color w:val="FFFFFF" w:themeColor="background1"/>
                <w14:textFill>
                  <w14:solidFill>
                    <w14:schemeClr w14:val="bg1"/>
                  </w14:solidFill>
                </w14:textFill>
              </w:rPr>
            </w:pPr>
            <w:r>
              <w:rPr>
                <w:rFonts w:hint="eastAsia" w:eastAsiaTheme="minorEastAsia" w:cstheme="minorBidi"/>
                <w:b/>
                <w:bCs/>
                <w:color w:val="FFFFFF" w:themeColor="background1"/>
                <w:szCs w:val="21"/>
                <w14:textFill>
                  <w14:solidFill>
                    <w14:schemeClr w14:val="bg1"/>
                  </w14:solidFill>
                </w14:textFill>
              </w:rPr>
              <w:t>经济管理学院</w:t>
            </w:r>
          </w:p>
        </w:tc>
        <w:tc>
          <w:tcPr>
            <w:tcW w:w="2539" w:type="dxa"/>
            <w:shd w:val="clear" w:color="auto" w:fill="D9E2F3" w:themeFill="accent1" w:themeFillTint="33"/>
            <w:noWrap/>
            <w:vAlign w:val="top"/>
          </w:tcPr>
          <w:p>
            <w:pPr>
              <w:pStyle w:val="220"/>
              <w:spacing w:before="0"/>
              <w:rPr>
                <w:rFonts w:eastAsiaTheme="minorEastAsia" w:cstheme="minorBidi"/>
              </w:rPr>
            </w:pPr>
            <w:r>
              <w:rPr>
                <w:rFonts w:hint="eastAsia" w:eastAsiaTheme="minorEastAsia" w:cstheme="minorBidi"/>
              </w:rPr>
              <w:t>财务管理</w:t>
            </w:r>
          </w:p>
        </w:tc>
        <w:tc>
          <w:tcPr>
            <w:tcW w:w="2247" w:type="dxa"/>
            <w:shd w:val="clear" w:color="auto" w:fill="D9E2F3" w:themeFill="accent1" w:themeFillTint="33"/>
            <w:noWrap/>
            <w:vAlign w:val="top"/>
          </w:tcPr>
          <w:p>
            <w:pPr>
              <w:pStyle w:val="220"/>
              <w:spacing w:before="0"/>
              <w:rPr>
                <w:rFonts w:eastAsiaTheme="minorEastAsia" w:cstheme="minorBidi"/>
              </w:rPr>
            </w:pPr>
            <w:r>
              <w:rPr>
                <w:rFonts w:hint="eastAsia" w:eastAsiaTheme="minorEastAsia" w:cstheme="minorBidi"/>
              </w:rPr>
              <w:t>291</w:t>
            </w:r>
          </w:p>
        </w:tc>
        <w:tc>
          <w:tcPr>
            <w:tcW w:w="2393" w:type="dxa"/>
            <w:shd w:val="clear" w:color="auto" w:fill="D9E2F3" w:themeFill="accent1" w:themeFillTint="33"/>
            <w:noWrap/>
            <w:vAlign w:val="top"/>
          </w:tcPr>
          <w:p>
            <w:pPr>
              <w:pStyle w:val="220"/>
              <w:spacing w:before="0"/>
              <w:rPr>
                <w:rFonts w:eastAsiaTheme="minorEastAsia" w:cstheme="minorBidi"/>
              </w:rPr>
            </w:pPr>
            <w:r>
              <w:rPr>
                <w:rFonts w:hint="eastAsia" w:eastAsiaTheme="minorEastAsia" w:cstheme="minorBidi"/>
              </w:rPr>
              <w:t>5.69%</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continue"/>
            <w:shd w:val="clear" w:color="auto" w:fill="4472C4" w:themeFill="accent1"/>
            <w:vAlign w:val="center"/>
          </w:tcPr>
          <w:p>
            <w:pPr>
              <w:pStyle w:val="220"/>
              <w:spacing w:before="0"/>
              <w:rPr>
                <w:rFonts w:eastAsiaTheme="minorEastAsia" w:cstheme="minorBidi"/>
                <w:b/>
                <w:bCs/>
                <w:color w:val="FFFFFF" w:themeColor="background1"/>
                <w14:textFill>
                  <w14:solidFill>
                    <w14:schemeClr w14:val="bg1"/>
                  </w14:solidFill>
                </w14:textFill>
              </w:rPr>
            </w:pPr>
          </w:p>
        </w:tc>
        <w:tc>
          <w:tcPr>
            <w:tcW w:w="2539" w:type="dxa"/>
            <w:noWrap/>
            <w:vAlign w:val="top"/>
          </w:tcPr>
          <w:p>
            <w:pPr>
              <w:pStyle w:val="220"/>
              <w:spacing w:before="0"/>
              <w:rPr>
                <w:rFonts w:eastAsiaTheme="minorEastAsia" w:cstheme="minorBidi"/>
              </w:rPr>
            </w:pPr>
            <w:r>
              <w:rPr>
                <w:rFonts w:hint="eastAsia" w:eastAsiaTheme="minorEastAsia" w:cstheme="minorBidi"/>
              </w:rPr>
              <w:t>物流管理</w:t>
            </w:r>
          </w:p>
        </w:tc>
        <w:tc>
          <w:tcPr>
            <w:tcW w:w="2247" w:type="dxa"/>
            <w:noWrap/>
            <w:vAlign w:val="top"/>
          </w:tcPr>
          <w:p>
            <w:pPr>
              <w:pStyle w:val="220"/>
              <w:spacing w:before="0"/>
              <w:rPr>
                <w:rFonts w:eastAsiaTheme="minorEastAsia" w:cstheme="minorBidi"/>
              </w:rPr>
            </w:pPr>
            <w:r>
              <w:rPr>
                <w:rFonts w:hint="eastAsia" w:eastAsiaTheme="minorEastAsia" w:cstheme="minorBidi"/>
              </w:rPr>
              <w:t>168</w:t>
            </w:r>
          </w:p>
        </w:tc>
        <w:tc>
          <w:tcPr>
            <w:tcW w:w="2393" w:type="dxa"/>
            <w:noWrap/>
            <w:vAlign w:val="top"/>
          </w:tcPr>
          <w:p>
            <w:pPr>
              <w:pStyle w:val="220"/>
              <w:spacing w:before="0"/>
              <w:rPr>
                <w:rFonts w:eastAsiaTheme="minorEastAsia" w:cstheme="minorBidi"/>
              </w:rPr>
            </w:pPr>
            <w:r>
              <w:rPr>
                <w:rFonts w:hint="eastAsia" w:eastAsiaTheme="minorEastAsia" w:cstheme="minorBidi"/>
              </w:rPr>
              <w:t>3.29%</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continue"/>
            <w:shd w:val="clear" w:color="auto" w:fill="4472C4" w:themeFill="accent1"/>
            <w:vAlign w:val="center"/>
          </w:tcPr>
          <w:p>
            <w:pPr>
              <w:pStyle w:val="220"/>
              <w:spacing w:before="0"/>
              <w:rPr>
                <w:rFonts w:eastAsiaTheme="minorEastAsia" w:cstheme="minorBidi"/>
                <w:b/>
                <w:bCs/>
                <w:color w:val="FFFFFF" w:themeColor="background1"/>
                <w14:textFill>
                  <w14:solidFill>
                    <w14:schemeClr w14:val="bg1"/>
                  </w14:solidFill>
                </w14:textFill>
              </w:rPr>
            </w:pPr>
          </w:p>
        </w:tc>
        <w:tc>
          <w:tcPr>
            <w:tcW w:w="2539" w:type="dxa"/>
            <w:shd w:val="clear" w:color="auto" w:fill="D9E2F3" w:themeFill="accent1" w:themeFillTint="33"/>
            <w:noWrap/>
            <w:vAlign w:val="top"/>
          </w:tcPr>
          <w:p>
            <w:pPr>
              <w:pStyle w:val="220"/>
              <w:spacing w:before="0"/>
              <w:rPr>
                <w:rFonts w:eastAsiaTheme="minorEastAsia" w:cstheme="minorBidi"/>
              </w:rPr>
            </w:pPr>
            <w:r>
              <w:rPr>
                <w:rFonts w:hint="eastAsia" w:eastAsiaTheme="minorEastAsia" w:cstheme="minorBidi"/>
              </w:rPr>
              <w:t>市场营销</w:t>
            </w:r>
          </w:p>
        </w:tc>
        <w:tc>
          <w:tcPr>
            <w:tcW w:w="2247" w:type="dxa"/>
            <w:shd w:val="clear" w:color="auto" w:fill="D9E2F3" w:themeFill="accent1" w:themeFillTint="33"/>
            <w:noWrap/>
            <w:vAlign w:val="top"/>
          </w:tcPr>
          <w:p>
            <w:pPr>
              <w:pStyle w:val="220"/>
              <w:spacing w:before="0"/>
              <w:rPr>
                <w:rFonts w:eastAsiaTheme="minorEastAsia" w:cstheme="minorBidi"/>
              </w:rPr>
            </w:pPr>
            <w:r>
              <w:rPr>
                <w:rFonts w:hint="eastAsia" w:eastAsiaTheme="minorEastAsia" w:cstheme="minorBidi"/>
              </w:rPr>
              <w:t>98</w:t>
            </w:r>
          </w:p>
        </w:tc>
        <w:tc>
          <w:tcPr>
            <w:tcW w:w="2393" w:type="dxa"/>
            <w:shd w:val="clear" w:color="auto" w:fill="D9E2F3" w:themeFill="accent1" w:themeFillTint="33"/>
            <w:noWrap/>
            <w:vAlign w:val="top"/>
          </w:tcPr>
          <w:p>
            <w:pPr>
              <w:pStyle w:val="220"/>
              <w:spacing w:before="0"/>
              <w:rPr>
                <w:rFonts w:eastAsiaTheme="minorEastAsia" w:cstheme="minorBidi"/>
              </w:rPr>
            </w:pPr>
            <w:r>
              <w:rPr>
                <w:rFonts w:hint="eastAsia" w:eastAsiaTheme="minorEastAsia" w:cstheme="minorBidi"/>
              </w:rPr>
              <w:t>1.92%</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continue"/>
            <w:shd w:val="clear" w:color="auto" w:fill="4472C4" w:themeFill="accent1"/>
            <w:vAlign w:val="center"/>
          </w:tcPr>
          <w:p>
            <w:pPr>
              <w:pStyle w:val="220"/>
              <w:spacing w:before="0"/>
              <w:rPr>
                <w:rFonts w:eastAsiaTheme="minorEastAsia" w:cstheme="minorBidi"/>
                <w:b/>
                <w:bCs/>
                <w:color w:val="FFFFFF" w:themeColor="background1"/>
                <w14:textFill>
                  <w14:solidFill>
                    <w14:schemeClr w14:val="bg1"/>
                  </w14:solidFill>
                </w14:textFill>
              </w:rPr>
            </w:pPr>
          </w:p>
        </w:tc>
        <w:tc>
          <w:tcPr>
            <w:tcW w:w="2539" w:type="dxa"/>
            <w:noWrap/>
            <w:vAlign w:val="top"/>
          </w:tcPr>
          <w:p>
            <w:pPr>
              <w:pStyle w:val="220"/>
              <w:spacing w:before="0"/>
              <w:rPr>
                <w:rFonts w:eastAsiaTheme="minorEastAsia" w:cstheme="minorBidi"/>
              </w:rPr>
            </w:pPr>
            <w:r>
              <w:rPr>
                <w:rFonts w:hint="eastAsia" w:eastAsiaTheme="minorEastAsia" w:cstheme="minorBidi"/>
              </w:rPr>
              <w:t>资产评估</w:t>
            </w:r>
          </w:p>
        </w:tc>
        <w:tc>
          <w:tcPr>
            <w:tcW w:w="2247" w:type="dxa"/>
            <w:noWrap/>
            <w:vAlign w:val="top"/>
          </w:tcPr>
          <w:p>
            <w:pPr>
              <w:pStyle w:val="220"/>
              <w:spacing w:before="0"/>
              <w:rPr>
                <w:rFonts w:eastAsiaTheme="minorEastAsia" w:cstheme="minorBidi"/>
              </w:rPr>
            </w:pPr>
            <w:r>
              <w:rPr>
                <w:rFonts w:hint="eastAsia" w:eastAsiaTheme="minorEastAsia" w:cstheme="minorBidi"/>
              </w:rPr>
              <w:t>64</w:t>
            </w:r>
          </w:p>
        </w:tc>
        <w:tc>
          <w:tcPr>
            <w:tcW w:w="2393" w:type="dxa"/>
            <w:noWrap/>
            <w:vAlign w:val="top"/>
          </w:tcPr>
          <w:p>
            <w:pPr>
              <w:pStyle w:val="220"/>
              <w:spacing w:before="0"/>
              <w:rPr>
                <w:rFonts w:eastAsiaTheme="minorEastAsia" w:cstheme="minorBidi"/>
              </w:rPr>
            </w:pPr>
            <w:r>
              <w:rPr>
                <w:rFonts w:hint="eastAsia" w:eastAsiaTheme="minorEastAsia" w:cstheme="minorBidi"/>
              </w:rPr>
              <w:t>1.25%</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continue"/>
            <w:shd w:val="clear" w:color="auto" w:fill="4472C4" w:themeFill="accent1"/>
            <w:vAlign w:val="center"/>
          </w:tcPr>
          <w:p>
            <w:pPr>
              <w:pStyle w:val="220"/>
              <w:spacing w:before="100"/>
              <w:rPr>
                <w:rFonts w:eastAsiaTheme="minorEastAsia" w:cstheme="minorBidi"/>
                <w:b/>
                <w:bCs/>
                <w:color w:val="FFFFFF" w:themeColor="background1"/>
                <w14:textFill>
                  <w14:solidFill>
                    <w14:schemeClr w14:val="bg1"/>
                  </w14:solidFill>
                </w14:textFill>
              </w:rPr>
            </w:pPr>
          </w:p>
        </w:tc>
        <w:tc>
          <w:tcPr>
            <w:tcW w:w="2539" w:type="dxa"/>
            <w:shd w:val="clear" w:color="auto" w:fill="D9E2F3" w:themeFill="accent1" w:themeFillTint="33"/>
            <w:noWrap/>
            <w:vAlign w:val="center"/>
          </w:tcPr>
          <w:p>
            <w:pPr>
              <w:pStyle w:val="220"/>
              <w:spacing w:before="0"/>
              <w:rPr>
                <w:rFonts w:eastAsiaTheme="minorEastAsia" w:cstheme="minorBidi"/>
                <w:b/>
              </w:rPr>
            </w:pPr>
            <w:r>
              <w:rPr>
                <w:rFonts w:hint="eastAsia" w:eastAsiaTheme="minorEastAsia" w:cstheme="minorBidi"/>
                <w:b/>
              </w:rPr>
              <w:t>小计</w:t>
            </w:r>
          </w:p>
        </w:tc>
        <w:tc>
          <w:tcPr>
            <w:tcW w:w="2247" w:type="dxa"/>
            <w:shd w:val="clear" w:color="auto" w:fill="D9E2F3" w:themeFill="accent1" w:themeFillTint="33"/>
            <w:noWrap/>
            <w:vAlign w:val="top"/>
          </w:tcPr>
          <w:p>
            <w:pPr>
              <w:pStyle w:val="220"/>
              <w:spacing w:before="0"/>
              <w:rPr>
                <w:rFonts w:eastAsiaTheme="minorEastAsia" w:cstheme="minorBidi"/>
                <w:b/>
                <w:bCs/>
              </w:rPr>
            </w:pPr>
            <w:r>
              <w:rPr>
                <w:rFonts w:eastAsiaTheme="minorEastAsia" w:cstheme="minorBidi"/>
                <w:b/>
                <w:bCs/>
              </w:rPr>
              <w:t>621</w:t>
            </w:r>
          </w:p>
        </w:tc>
        <w:tc>
          <w:tcPr>
            <w:tcW w:w="2393" w:type="dxa"/>
            <w:shd w:val="clear" w:color="auto" w:fill="D9E2F3" w:themeFill="accent1" w:themeFillTint="33"/>
            <w:noWrap/>
            <w:vAlign w:val="top"/>
          </w:tcPr>
          <w:p>
            <w:pPr>
              <w:pStyle w:val="220"/>
              <w:spacing w:before="0"/>
              <w:rPr>
                <w:rFonts w:eastAsiaTheme="minorEastAsia" w:cstheme="minorBidi"/>
                <w:b/>
                <w:bCs/>
              </w:rPr>
            </w:pPr>
            <w:r>
              <w:rPr>
                <w:rFonts w:eastAsiaTheme="minorEastAsia" w:cstheme="minorBidi"/>
                <w:b/>
                <w:bCs/>
              </w:rPr>
              <w:t>12.15%</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restart"/>
            <w:shd w:val="clear" w:color="auto" w:fill="4472C4" w:themeFill="accent1"/>
            <w:noWrap/>
            <w:vAlign w:val="center"/>
          </w:tcPr>
          <w:p>
            <w:pPr>
              <w:pStyle w:val="220"/>
              <w:spacing w:before="0"/>
              <w:rPr>
                <w:rFonts w:eastAsiaTheme="minorEastAsia" w:cstheme="minorBidi"/>
                <w:b/>
                <w:bCs/>
                <w:color w:val="FFFFFF" w:themeColor="background1"/>
                <w14:textFill>
                  <w14:solidFill>
                    <w14:schemeClr w14:val="bg1"/>
                  </w14:solidFill>
                </w14:textFill>
              </w:rPr>
            </w:pPr>
            <w:r>
              <w:rPr>
                <w:rFonts w:hint="eastAsia" w:eastAsiaTheme="minorEastAsia" w:cstheme="minorBidi"/>
                <w:b/>
                <w:bCs/>
                <w:color w:val="FFFFFF" w:themeColor="background1"/>
                <w:szCs w:val="21"/>
                <w14:textFill>
                  <w14:solidFill>
                    <w14:schemeClr w14:val="bg1"/>
                  </w14:solidFill>
                </w14:textFill>
              </w:rPr>
              <w:t>艺术学院</w:t>
            </w:r>
          </w:p>
        </w:tc>
        <w:tc>
          <w:tcPr>
            <w:tcW w:w="2539" w:type="dxa"/>
            <w:noWrap/>
            <w:vAlign w:val="top"/>
          </w:tcPr>
          <w:p>
            <w:pPr>
              <w:pStyle w:val="220"/>
              <w:spacing w:before="0"/>
              <w:rPr>
                <w:rFonts w:eastAsiaTheme="minorEastAsia" w:cstheme="minorBidi"/>
              </w:rPr>
            </w:pPr>
            <w:r>
              <w:rPr>
                <w:rFonts w:hint="eastAsia" w:eastAsiaTheme="minorEastAsia" w:cstheme="minorBidi"/>
              </w:rPr>
              <w:t>音乐学</w:t>
            </w:r>
          </w:p>
        </w:tc>
        <w:tc>
          <w:tcPr>
            <w:tcW w:w="2247" w:type="dxa"/>
            <w:noWrap/>
            <w:vAlign w:val="top"/>
          </w:tcPr>
          <w:p>
            <w:pPr>
              <w:pStyle w:val="220"/>
              <w:spacing w:before="0"/>
              <w:rPr>
                <w:rFonts w:eastAsiaTheme="minorEastAsia" w:cstheme="minorBidi"/>
              </w:rPr>
            </w:pPr>
            <w:r>
              <w:rPr>
                <w:rFonts w:hint="eastAsia" w:eastAsiaTheme="minorEastAsia" w:cstheme="minorBidi"/>
              </w:rPr>
              <w:t>110</w:t>
            </w:r>
          </w:p>
        </w:tc>
        <w:tc>
          <w:tcPr>
            <w:tcW w:w="2393" w:type="dxa"/>
            <w:noWrap/>
            <w:vAlign w:val="top"/>
          </w:tcPr>
          <w:p>
            <w:pPr>
              <w:pStyle w:val="220"/>
              <w:spacing w:before="0"/>
              <w:rPr>
                <w:rFonts w:eastAsiaTheme="minorEastAsia" w:cstheme="minorBidi"/>
              </w:rPr>
            </w:pPr>
            <w:r>
              <w:rPr>
                <w:rFonts w:hint="eastAsia" w:eastAsiaTheme="minorEastAsia" w:cstheme="minorBidi"/>
              </w:rPr>
              <w:t>2.15%</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continue"/>
            <w:shd w:val="clear" w:color="auto" w:fill="4472C4" w:themeFill="accent1"/>
            <w:vAlign w:val="center"/>
          </w:tcPr>
          <w:p>
            <w:pPr>
              <w:pStyle w:val="220"/>
              <w:spacing w:before="0"/>
              <w:rPr>
                <w:rFonts w:eastAsiaTheme="minorEastAsia" w:cstheme="minorBidi"/>
                <w:b/>
                <w:bCs/>
                <w:color w:val="FFFFFF" w:themeColor="background1"/>
                <w14:textFill>
                  <w14:solidFill>
                    <w14:schemeClr w14:val="bg1"/>
                  </w14:solidFill>
                </w14:textFill>
              </w:rPr>
            </w:pPr>
          </w:p>
        </w:tc>
        <w:tc>
          <w:tcPr>
            <w:tcW w:w="2539" w:type="dxa"/>
            <w:shd w:val="clear" w:color="auto" w:fill="D9E2F3" w:themeFill="accent1" w:themeFillTint="33"/>
            <w:noWrap/>
            <w:vAlign w:val="top"/>
          </w:tcPr>
          <w:p>
            <w:pPr>
              <w:pStyle w:val="220"/>
              <w:spacing w:before="0"/>
              <w:rPr>
                <w:rFonts w:eastAsiaTheme="minorEastAsia" w:cstheme="minorBidi"/>
              </w:rPr>
            </w:pPr>
            <w:r>
              <w:rPr>
                <w:rFonts w:hint="eastAsia" w:eastAsiaTheme="minorEastAsia" w:cstheme="minorBidi"/>
              </w:rPr>
              <w:t>美术学</w:t>
            </w:r>
          </w:p>
        </w:tc>
        <w:tc>
          <w:tcPr>
            <w:tcW w:w="2247" w:type="dxa"/>
            <w:shd w:val="clear" w:color="auto" w:fill="D9E2F3" w:themeFill="accent1" w:themeFillTint="33"/>
            <w:noWrap/>
            <w:vAlign w:val="top"/>
          </w:tcPr>
          <w:p>
            <w:pPr>
              <w:pStyle w:val="220"/>
              <w:spacing w:before="0"/>
              <w:rPr>
                <w:rFonts w:eastAsiaTheme="minorEastAsia" w:cstheme="minorBidi"/>
              </w:rPr>
            </w:pPr>
            <w:r>
              <w:rPr>
                <w:rFonts w:hint="eastAsia" w:eastAsiaTheme="minorEastAsia" w:cstheme="minorBidi"/>
              </w:rPr>
              <w:t>102</w:t>
            </w:r>
          </w:p>
        </w:tc>
        <w:tc>
          <w:tcPr>
            <w:tcW w:w="2393" w:type="dxa"/>
            <w:shd w:val="clear" w:color="auto" w:fill="D9E2F3" w:themeFill="accent1" w:themeFillTint="33"/>
            <w:noWrap/>
            <w:vAlign w:val="top"/>
          </w:tcPr>
          <w:p>
            <w:pPr>
              <w:pStyle w:val="220"/>
              <w:spacing w:before="0"/>
              <w:rPr>
                <w:rFonts w:eastAsiaTheme="minorEastAsia" w:cstheme="minorBidi"/>
              </w:rPr>
            </w:pPr>
            <w:r>
              <w:rPr>
                <w:rFonts w:hint="eastAsia" w:eastAsiaTheme="minorEastAsia" w:cstheme="minorBidi"/>
              </w:rPr>
              <w:t>2.00%</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continue"/>
            <w:shd w:val="clear" w:color="auto" w:fill="4472C4" w:themeFill="accent1"/>
            <w:vAlign w:val="center"/>
          </w:tcPr>
          <w:p>
            <w:pPr>
              <w:pStyle w:val="220"/>
              <w:spacing w:before="0"/>
              <w:rPr>
                <w:rFonts w:eastAsiaTheme="minorEastAsia" w:cstheme="minorBidi"/>
                <w:b/>
                <w:bCs/>
                <w:color w:val="FFFFFF" w:themeColor="background1"/>
                <w14:textFill>
                  <w14:solidFill>
                    <w14:schemeClr w14:val="bg1"/>
                  </w14:solidFill>
                </w14:textFill>
              </w:rPr>
            </w:pPr>
          </w:p>
        </w:tc>
        <w:tc>
          <w:tcPr>
            <w:tcW w:w="2539" w:type="dxa"/>
            <w:noWrap/>
            <w:vAlign w:val="top"/>
          </w:tcPr>
          <w:p>
            <w:pPr>
              <w:pStyle w:val="220"/>
              <w:spacing w:before="0"/>
              <w:rPr>
                <w:rFonts w:eastAsiaTheme="minorEastAsia" w:cstheme="minorBidi"/>
              </w:rPr>
            </w:pPr>
            <w:r>
              <w:rPr>
                <w:rFonts w:hint="eastAsia" w:eastAsiaTheme="minorEastAsia" w:cstheme="minorBidi"/>
              </w:rPr>
              <w:t>环境设计</w:t>
            </w:r>
          </w:p>
        </w:tc>
        <w:tc>
          <w:tcPr>
            <w:tcW w:w="2247" w:type="dxa"/>
            <w:noWrap/>
            <w:vAlign w:val="top"/>
          </w:tcPr>
          <w:p>
            <w:pPr>
              <w:pStyle w:val="220"/>
              <w:spacing w:before="0"/>
              <w:rPr>
                <w:rFonts w:eastAsiaTheme="minorEastAsia" w:cstheme="minorBidi"/>
              </w:rPr>
            </w:pPr>
            <w:r>
              <w:rPr>
                <w:rFonts w:hint="eastAsia" w:eastAsiaTheme="minorEastAsia" w:cstheme="minorBidi"/>
              </w:rPr>
              <w:t>85</w:t>
            </w:r>
          </w:p>
        </w:tc>
        <w:tc>
          <w:tcPr>
            <w:tcW w:w="2393" w:type="dxa"/>
            <w:noWrap/>
            <w:vAlign w:val="top"/>
          </w:tcPr>
          <w:p>
            <w:pPr>
              <w:pStyle w:val="220"/>
              <w:spacing w:before="0"/>
              <w:rPr>
                <w:rFonts w:eastAsiaTheme="minorEastAsia" w:cstheme="minorBidi"/>
              </w:rPr>
            </w:pPr>
            <w:r>
              <w:rPr>
                <w:rFonts w:hint="eastAsia" w:eastAsiaTheme="minorEastAsia" w:cstheme="minorBidi"/>
              </w:rPr>
              <w:t>1.66%</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continue"/>
            <w:shd w:val="clear" w:color="auto" w:fill="4472C4" w:themeFill="accent1"/>
            <w:vAlign w:val="center"/>
          </w:tcPr>
          <w:p>
            <w:pPr>
              <w:pStyle w:val="220"/>
              <w:spacing w:before="0"/>
              <w:rPr>
                <w:rFonts w:eastAsiaTheme="minorEastAsia" w:cstheme="minorBidi"/>
                <w:b/>
                <w:bCs/>
                <w:color w:val="FFFFFF" w:themeColor="background1"/>
                <w14:textFill>
                  <w14:solidFill>
                    <w14:schemeClr w14:val="bg1"/>
                  </w14:solidFill>
                </w14:textFill>
              </w:rPr>
            </w:pPr>
          </w:p>
        </w:tc>
        <w:tc>
          <w:tcPr>
            <w:tcW w:w="2539" w:type="dxa"/>
            <w:shd w:val="clear" w:color="auto" w:fill="D9E2F3" w:themeFill="accent1" w:themeFillTint="33"/>
            <w:noWrap/>
            <w:vAlign w:val="top"/>
          </w:tcPr>
          <w:p>
            <w:pPr>
              <w:pStyle w:val="220"/>
              <w:spacing w:before="0"/>
              <w:rPr>
                <w:rFonts w:eastAsiaTheme="minorEastAsia" w:cstheme="minorBidi"/>
              </w:rPr>
            </w:pPr>
            <w:r>
              <w:rPr>
                <w:rFonts w:hint="eastAsia" w:eastAsiaTheme="minorEastAsia" w:cstheme="minorBidi"/>
              </w:rPr>
              <w:t>视觉传达设计</w:t>
            </w:r>
          </w:p>
        </w:tc>
        <w:tc>
          <w:tcPr>
            <w:tcW w:w="2247" w:type="dxa"/>
            <w:shd w:val="clear" w:color="auto" w:fill="D9E2F3" w:themeFill="accent1" w:themeFillTint="33"/>
            <w:noWrap/>
            <w:vAlign w:val="top"/>
          </w:tcPr>
          <w:p>
            <w:pPr>
              <w:pStyle w:val="220"/>
              <w:spacing w:before="0"/>
              <w:rPr>
                <w:rFonts w:eastAsiaTheme="minorEastAsia" w:cstheme="minorBidi"/>
              </w:rPr>
            </w:pPr>
            <w:r>
              <w:rPr>
                <w:rFonts w:hint="eastAsia" w:eastAsiaTheme="minorEastAsia" w:cstheme="minorBidi"/>
              </w:rPr>
              <w:t>84</w:t>
            </w:r>
          </w:p>
        </w:tc>
        <w:tc>
          <w:tcPr>
            <w:tcW w:w="2393" w:type="dxa"/>
            <w:shd w:val="clear" w:color="auto" w:fill="D9E2F3" w:themeFill="accent1" w:themeFillTint="33"/>
            <w:noWrap/>
            <w:vAlign w:val="top"/>
          </w:tcPr>
          <w:p>
            <w:pPr>
              <w:pStyle w:val="220"/>
              <w:spacing w:before="0"/>
              <w:rPr>
                <w:rFonts w:eastAsiaTheme="minorEastAsia" w:cstheme="minorBidi"/>
              </w:rPr>
            </w:pPr>
            <w:r>
              <w:rPr>
                <w:rFonts w:hint="eastAsia" w:eastAsiaTheme="minorEastAsia" w:cstheme="minorBidi"/>
              </w:rPr>
              <w:t>1.64%</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continue"/>
            <w:shd w:val="clear" w:color="auto" w:fill="4472C4" w:themeFill="accent1"/>
            <w:vAlign w:val="center"/>
          </w:tcPr>
          <w:p>
            <w:pPr>
              <w:pStyle w:val="220"/>
              <w:spacing w:before="100"/>
              <w:rPr>
                <w:rFonts w:eastAsiaTheme="minorEastAsia" w:cstheme="minorBidi"/>
                <w:b/>
                <w:bCs/>
                <w:color w:val="FFFFFF" w:themeColor="background1"/>
                <w14:textFill>
                  <w14:solidFill>
                    <w14:schemeClr w14:val="bg1"/>
                  </w14:solidFill>
                </w14:textFill>
              </w:rPr>
            </w:pPr>
          </w:p>
        </w:tc>
        <w:tc>
          <w:tcPr>
            <w:tcW w:w="2539" w:type="dxa"/>
            <w:noWrap/>
            <w:vAlign w:val="top"/>
          </w:tcPr>
          <w:p>
            <w:pPr>
              <w:pStyle w:val="220"/>
              <w:spacing w:before="0"/>
              <w:rPr>
                <w:rFonts w:eastAsiaTheme="minorEastAsia" w:cstheme="minorBidi"/>
              </w:rPr>
            </w:pPr>
            <w:r>
              <w:rPr>
                <w:rFonts w:hint="eastAsia" w:eastAsiaTheme="minorEastAsia" w:cstheme="minorBidi"/>
              </w:rPr>
              <w:t>服装与服饰设计</w:t>
            </w:r>
          </w:p>
        </w:tc>
        <w:tc>
          <w:tcPr>
            <w:tcW w:w="2247" w:type="dxa"/>
            <w:noWrap/>
            <w:vAlign w:val="top"/>
          </w:tcPr>
          <w:p>
            <w:pPr>
              <w:pStyle w:val="220"/>
              <w:spacing w:before="0"/>
              <w:rPr>
                <w:rFonts w:eastAsiaTheme="minorEastAsia" w:cstheme="minorBidi"/>
              </w:rPr>
            </w:pPr>
            <w:r>
              <w:rPr>
                <w:rFonts w:hint="eastAsia" w:eastAsiaTheme="minorEastAsia" w:cstheme="minorBidi"/>
              </w:rPr>
              <w:t>71</w:t>
            </w:r>
          </w:p>
        </w:tc>
        <w:tc>
          <w:tcPr>
            <w:tcW w:w="2393" w:type="dxa"/>
            <w:noWrap/>
            <w:vAlign w:val="top"/>
          </w:tcPr>
          <w:p>
            <w:pPr>
              <w:pStyle w:val="220"/>
              <w:spacing w:before="0"/>
              <w:rPr>
                <w:rFonts w:eastAsiaTheme="minorEastAsia" w:cstheme="minorBidi"/>
              </w:rPr>
            </w:pPr>
            <w:r>
              <w:rPr>
                <w:rFonts w:hint="eastAsia" w:eastAsiaTheme="minorEastAsia" w:cstheme="minorBidi"/>
              </w:rPr>
              <w:t>1.39%</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continue"/>
            <w:shd w:val="clear" w:color="auto" w:fill="4472C4" w:themeFill="accent1"/>
            <w:vAlign w:val="center"/>
          </w:tcPr>
          <w:p>
            <w:pPr>
              <w:pStyle w:val="220"/>
              <w:spacing w:before="100"/>
              <w:rPr>
                <w:rFonts w:eastAsiaTheme="minorEastAsia" w:cstheme="minorBidi"/>
                <w:b/>
                <w:bCs/>
                <w:color w:val="FFFFFF" w:themeColor="background1"/>
                <w14:textFill>
                  <w14:solidFill>
                    <w14:schemeClr w14:val="bg1"/>
                  </w14:solidFill>
                </w14:textFill>
              </w:rPr>
            </w:pPr>
          </w:p>
        </w:tc>
        <w:tc>
          <w:tcPr>
            <w:tcW w:w="2539" w:type="dxa"/>
            <w:shd w:val="clear" w:color="auto" w:fill="D9E2F3" w:themeFill="accent1" w:themeFillTint="33"/>
            <w:noWrap/>
            <w:vAlign w:val="top"/>
          </w:tcPr>
          <w:p>
            <w:pPr>
              <w:pStyle w:val="220"/>
              <w:spacing w:before="0"/>
              <w:rPr>
                <w:rFonts w:eastAsiaTheme="minorEastAsia" w:cstheme="minorBidi"/>
              </w:rPr>
            </w:pPr>
            <w:r>
              <w:rPr>
                <w:rFonts w:hint="eastAsia" w:eastAsiaTheme="minorEastAsia" w:cstheme="minorBidi"/>
              </w:rPr>
              <w:t>播音与主持艺术</w:t>
            </w:r>
          </w:p>
        </w:tc>
        <w:tc>
          <w:tcPr>
            <w:tcW w:w="2247" w:type="dxa"/>
            <w:shd w:val="clear" w:color="auto" w:fill="D9E2F3" w:themeFill="accent1" w:themeFillTint="33"/>
            <w:noWrap/>
            <w:vAlign w:val="top"/>
          </w:tcPr>
          <w:p>
            <w:pPr>
              <w:pStyle w:val="220"/>
              <w:spacing w:before="0"/>
              <w:rPr>
                <w:rFonts w:eastAsiaTheme="minorEastAsia" w:cstheme="minorBidi"/>
              </w:rPr>
            </w:pPr>
            <w:r>
              <w:rPr>
                <w:rFonts w:hint="eastAsia" w:eastAsiaTheme="minorEastAsia" w:cstheme="minorBidi"/>
              </w:rPr>
              <w:t>34</w:t>
            </w:r>
          </w:p>
        </w:tc>
        <w:tc>
          <w:tcPr>
            <w:tcW w:w="2393" w:type="dxa"/>
            <w:shd w:val="clear" w:color="auto" w:fill="D9E2F3" w:themeFill="accent1" w:themeFillTint="33"/>
            <w:noWrap/>
            <w:vAlign w:val="top"/>
          </w:tcPr>
          <w:p>
            <w:pPr>
              <w:pStyle w:val="220"/>
              <w:spacing w:before="0"/>
              <w:rPr>
                <w:rFonts w:eastAsiaTheme="minorEastAsia" w:cstheme="minorBidi"/>
              </w:rPr>
            </w:pPr>
            <w:r>
              <w:rPr>
                <w:rFonts w:hint="eastAsia" w:eastAsiaTheme="minorEastAsia" w:cstheme="minorBidi"/>
              </w:rPr>
              <w:t>0.67%</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continue"/>
            <w:shd w:val="clear" w:color="auto" w:fill="4472C4" w:themeFill="accent1"/>
            <w:vAlign w:val="center"/>
          </w:tcPr>
          <w:p>
            <w:pPr>
              <w:pStyle w:val="220"/>
              <w:spacing w:before="100"/>
              <w:rPr>
                <w:rFonts w:eastAsiaTheme="minorEastAsia" w:cstheme="minorBidi"/>
                <w:b/>
                <w:bCs/>
                <w:color w:val="FFFFFF" w:themeColor="background1"/>
                <w14:textFill>
                  <w14:solidFill>
                    <w14:schemeClr w14:val="bg1"/>
                  </w14:solidFill>
                </w14:textFill>
              </w:rPr>
            </w:pPr>
          </w:p>
        </w:tc>
        <w:tc>
          <w:tcPr>
            <w:tcW w:w="2539" w:type="dxa"/>
            <w:noWrap/>
            <w:vAlign w:val="top"/>
          </w:tcPr>
          <w:p>
            <w:pPr>
              <w:pStyle w:val="220"/>
              <w:spacing w:before="0"/>
              <w:rPr>
                <w:rFonts w:eastAsiaTheme="minorEastAsia" w:cstheme="minorBidi"/>
              </w:rPr>
            </w:pPr>
            <w:r>
              <w:rPr>
                <w:rFonts w:hint="eastAsia" w:eastAsiaTheme="minorEastAsia" w:cstheme="minorBidi"/>
              </w:rPr>
              <w:t>音乐学</w:t>
            </w:r>
          </w:p>
        </w:tc>
        <w:tc>
          <w:tcPr>
            <w:tcW w:w="2247" w:type="dxa"/>
            <w:noWrap/>
            <w:vAlign w:val="top"/>
          </w:tcPr>
          <w:p>
            <w:pPr>
              <w:pStyle w:val="220"/>
              <w:spacing w:before="0"/>
              <w:rPr>
                <w:rFonts w:eastAsiaTheme="minorEastAsia" w:cstheme="minorBidi"/>
              </w:rPr>
            </w:pPr>
            <w:r>
              <w:rPr>
                <w:rFonts w:hint="eastAsia" w:eastAsiaTheme="minorEastAsia" w:cstheme="minorBidi"/>
              </w:rPr>
              <w:t>110</w:t>
            </w:r>
          </w:p>
        </w:tc>
        <w:tc>
          <w:tcPr>
            <w:tcW w:w="2393" w:type="dxa"/>
            <w:noWrap/>
            <w:vAlign w:val="top"/>
          </w:tcPr>
          <w:p>
            <w:pPr>
              <w:pStyle w:val="220"/>
              <w:spacing w:before="0"/>
              <w:rPr>
                <w:rFonts w:eastAsiaTheme="minorEastAsia" w:cstheme="minorBidi"/>
              </w:rPr>
            </w:pPr>
            <w:r>
              <w:rPr>
                <w:rFonts w:hint="eastAsia" w:eastAsiaTheme="minorEastAsia" w:cstheme="minorBidi"/>
              </w:rPr>
              <w:t>2.15%</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continue"/>
            <w:shd w:val="clear" w:color="auto" w:fill="4472C4" w:themeFill="accent1"/>
            <w:vAlign w:val="center"/>
          </w:tcPr>
          <w:p>
            <w:pPr>
              <w:pStyle w:val="220"/>
              <w:spacing w:before="100"/>
              <w:rPr>
                <w:rFonts w:eastAsiaTheme="minorEastAsia" w:cstheme="minorBidi"/>
                <w:b/>
                <w:bCs/>
                <w:color w:val="FFFFFF" w:themeColor="background1"/>
                <w14:textFill>
                  <w14:solidFill>
                    <w14:schemeClr w14:val="bg1"/>
                  </w14:solidFill>
                </w14:textFill>
              </w:rPr>
            </w:pPr>
          </w:p>
        </w:tc>
        <w:tc>
          <w:tcPr>
            <w:tcW w:w="2539" w:type="dxa"/>
            <w:shd w:val="clear" w:color="auto" w:fill="D9E2F3" w:themeFill="accent1" w:themeFillTint="33"/>
            <w:noWrap/>
            <w:vAlign w:val="center"/>
          </w:tcPr>
          <w:p>
            <w:pPr>
              <w:pStyle w:val="220"/>
              <w:spacing w:before="0"/>
              <w:rPr>
                <w:rFonts w:eastAsiaTheme="minorEastAsia" w:cstheme="minorBidi"/>
                <w:b/>
              </w:rPr>
            </w:pPr>
            <w:r>
              <w:rPr>
                <w:rFonts w:hint="eastAsia" w:eastAsiaTheme="minorEastAsia" w:cstheme="minorBidi"/>
                <w:b/>
              </w:rPr>
              <w:t>小计</w:t>
            </w:r>
          </w:p>
        </w:tc>
        <w:tc>
          <w:tcPr>
            <w:tcW w:w="2247" w:type="dxa"/>
            <w:shd w:val="clear" w:color="auto" w:fill="D9E2F3" w:themeFill="accent1" w:themeFillTint="33"/>
            <w:noWrap/>
            <w:vAlign w:val="top"/>
          </w:tcPr>
          <w:p>
            <w:pPr>
              <w:pStyle w:val="220"/>
              <w:spacing w:before="0"/>
              <w:rPr>
                <w:rFonts w:eastAsiaTheme="minorEastAsia" w:cstheme="minorBidi"/>
                <w:b/>
              </w:rPr>
            </w:pPr>
            <w:r>
              <w:rPr>
                <w:rFonts w:eastAsiaTheme="minorEastAsia" w:cstheme="minorBidi"/>
                <w:b/>
              </w:rPr>
              <w:t>486</w:t>
            </w:r>
          </w:p>
        </w:tc>
        <w:tc>
          <w:tcPr>
            <w:tcW w:w="2393" w:type="dxa"/>
            <w:shd w:val="clear" w:color="auto" w:fill="D9E2F3" w:themeFill="accent1" w:themeFillTint="33"/>
            <w:noWrap/>
            <w:vAlign w:val="top"/>
          </w:tcPr>
          <w:p>
            <w:pPr>
              <w:pStyle w:val="220"/>
              <w:spacing w:before="0"/>
              <w:rPr>
                <w:rFonts w:eastAsiaTheme="minorEastAsia" w:cstheme="minorBidi"/>
                <w:b/>
              </w:rPr>
            </w:pPr>
            <w:r>
              <w:rPr>
                <w:rFonts w:eastAsiaTheme="minorEastAsia" w:cstheme="minorBidi"/>
                <w:b/>
              </w:rPr>
              <w:t>9.51%</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restart"/>
            <w:shd w:val="clear" w:color="auto" w:fill="4472C4" w:themeFill="accent1"/>
            <w:noWrap/>
            <w:vAlign w:val="center"/>
          </w:tcPr>
          <w:p>
            <w:pPr>
              <w:pStyle w:val="220"/>
              <w:spacing w:before="0"/>
              <w:rPr>
                <w:rFonts w:eastAsiaTheme="minorEastAsia" w:cstheme="minorBidi"/>
                <w:b/>
                <w:bCs/>
                <w:color w:val="FFFFFF" w:themeColor="background1"/>
                <w14:textFill>
                  <w14:solidFill>
                    <w14:schemeClr w14:val="bg1"/>
                  </w14:solidFill>
                </w14:textFill>
              </w:rPr>
            </w:pPr>
            <w:r>
              <w:rPr>
                <w:rFonts w:hint="eastAsia" w:eastAsiaTheme="minorEastAsia" w:cstheme="minorBidi"/>
                <w:b/>
                <w:bCs/>
                <w:color w:val="FFFFFF" w:themeColor="background1"/>
                <w:szCs w:val="21"/>
                <w14:textFill>
                  <w14:solidFill>
                    <w14:schemeClr w14:val="bg1"/>
                  </w14:solidFill>
                </w14:textFill>
              </w:rPr>
              <w:t>生物与制药工程学院</w:t>
            </w:r>
          </w:p>
        </w:tc>
        <w:tc>
          <w:tcPr>
            <w:tcW w:w="2539" w:type="dxa"/>
            <w:noWrap/>
            <w:vAlign w:val="top"/>
          </w:tcPr>
          <w:p>
            <w:pPr>
              <w:pStyle w:val="220"/>
              <w:spacing w:before="0"/>
              <w:rPr>
                <w:rFonts w:eastAsiaTheme="minorEastAsia" w:cstheme="minorBidi"/>
              </w:rPr>
            </w:pPr>
            <w:r>
              <w:rPr>
                <w:rFonts w:hint="eastAsia" w:eastAsiaTheme="minorEastAsia" w:cstheme="minorBidi"/>
              </w:rPr>
              <w:t>制药工程</w:t>
            </w:r>
          </w:p>
        </w:tc>
        <w:tc>
          <w:tcPr>
            <w:tcW w:w="2247" w:type="dxa"/>
            <w:noWrap/>
            <w:vAlign w:val="top"/>
          </w:tcPr>
          <w:p>
            <w:pPr>
              <w:pStyle w:val="220"/>
              <w:spacing w:before="0"/>
              <w:rPr>
                <w:rFonts w:eastAsiaTheme="minorEastAsia" w:cstheme="minorBidi"/>
              </w:rPr>
            </w:pPr>
            <w:r>
              <w:rPr>
                <w:rFonts w:hint="eastAsia" w:eastAsiaTheme="minorEastAsia" w:cstheme="minorBidi"/>
              </w:rPr>
              <w:t>164</w:t>
            </w:r>
          </w:p>
        </w:tc>
        <w:tc>
          <w:tcPr>
            <w:tcW w:w="2393" w:type="dxa"/>
            <w:noWrap/>
            <w:vAlign w:val="top"/>
          </w:tcPr>
          <w:p>
            <w:pPr>
              <w:pStyle w:val="220"/>
              <w:spacing w:before="0"/>
              <w:rPr>
                <w:rFonts w:eastAsiaTheme="minorEastAsia" w:cstheme="minorBidi"/>
              </w:rPr>
            </w:pPr>
            <w:r>
              <w:rPr>
                <w:rFonts w:hint="eastAsia" w:eastAsiaTheme="minorEastAsia" w:cstheme="minorBidi"/>
              </w:rPr>
              <w:t>3.21%</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continue"/>
            <w:shd w:val="clear" w:color="auto" w:fill="4472C4" w:themeFill="accent1"/>
            <w:vAlign w:val="center"/>
          </w:tcPr>
          <w:p>
            <w:pPr>
              <w:pStyle w:val="220"/>
              <w:spacing w:before="0"/>
              <w:rPr>
                <w:rFonts w:eastAsiaTheme="minorEastAsia" w:cstheme="minorBidi"/>
                <w:b/>
                <w:bCs/>
                <w:color w:val="FFFFFF" w:themeColor="background1"/>
                <w14:textFill>
                  <w14:solidFill>
                    <w14:schemeClr w14:val="bg1"/>
                  </w14:solidFill>
                </w14:textFill>
              </w:rPr>
            </w:pPr>
          </w:p>
        </w:tc>
        <w:tc>
          <w:tcPr>
            <w:tcW w:w="2539" w:type="dxa"/>
            <w:shd w:val="clear" w:color="auto" w:fill="D9E2F3" w:themeFill="accent1" w:themeFillTint="33"/>
            <w:noWrap/>
            <w:vAlign w:val="top"/>
          </w:tcPr>
          <w:p>
            <w:pPr>
              <w:pStyle w:val="220"/>
              <w:spacing w:before="0"/>
              <w:rPr>
                <w:rFonts w:eastAsiaTheme="minorEastAsia" w:cstheme="minorBidi"/>
              </w:rPr>
            </w:pPr>
            <w:r>
              <w:rPr>
                <w:rFonts w:hint="eastAsia" w:eastAsiaTheme="minorEastAsia" w:cstheme="minorBidi"/>
              </w:rPr>
              <w:t>动物科学</w:t>
            </w:r>
          </w:p>
        </w:tc>
        <w:tc>
          <w:tcPr>
            <w:tcW w:w="2247" w:type="dxa"/>
            <w:shd w:val="clear" w:color="auto" w:fill="D9E2F3" w:themeFill="accent1" w:themeFillTint="33"/>
            <w:noWrap/>
            <w:vAlign w:val="top"/>
          </w:tcPr>
          <w:p>
            <w:pPr>
              <w:pStyle w:val="220"/>
              <w:spacing w:before="0"/>
              <w:rPr>
                <w:rFonts w:eastAsiaTheme="minorEastAsia" w:cstheme="minorBidi"/>
              </w:rPr>
            </w:pPr>
            <w:r>
              <w:rPr>
                <w:rFonts w:hint="eastAsia" w:eastAsiaTheme="minorEastAsia" w:cstheme="minorBidi"/>
              </w:rPr>
              <w:t>99</w:t>
            </w:r>
          </w:p>
        </w:tc>
        <w:tc>
          <w:tcPr>
            <w:tcW w:w="2393" w:type="dxa"/>
            <w:shd w:val="clear" w:color="auto" w:fill="D9E2F3" w:themeFill="accent1" w:themeFillTint="33"/>
            <w:noWrap/>
            <w:vAlign w:val="top"/>
          </w:tcPr>
          <w:p>
            <w:pPr>
              <w:pStyle w:val="220"/>
              <w:spacing w:before="0"/>
              <w:rPr>
                <w:rFonts w:eastAsiaTheme="minorEastAsia" w:cstheme="minorBidi"/>
              </w:rPr>
            </w:pPr>
            <w:r>
              <w:rPr>
                <w:rFonts w:hint="eastAsia" w:eastAsiaTheme="minorEastAsia" w:cstheme="minorBidi"/>
              </w:rPr>
              <w:t>1.94%</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continue"/>
            <w:shd w:val="clear" w:color="auto" w:fill="4472C4" w:themeFill="accent1"/>
            <w:vAlign w:val="center"/>
          </w:tcPr>
          <w:p>
            <w:pPr>
              <w:pStyle w:val="220"/>
              <w:spacing w:before="0"/>
              <w:rPr>
                <w:rFonts w:eastAsiaTheme="minorEastAsia" w:cstheme="minorBidi"/>
                <w:b/>
                <w:bCs/>
                <w:color w:val="FFFFFF" w:themeColor="background1"/>
                <w14:textFill>
                  <w14:solidFill>
                    <w14:schemeClr w14:val="bg1"/>
                  </w14:solidFill>
                </w14:textFill>
              </w:rPr>
            </w:pPr>
          </w:p>
        </w:tc>
        <w:tc>
          <w:tcPr>
            <w:tcW w:w="2539" w:type="dxa"/>
            <w:noWrap/>
            <w:vAlign w:val="top"/>
          </w:tcPr>
          <w:p>
            <w:pPr>
              <w:pStyle w:val="220"/>
              <w:spacing w:before="0"/>
              <w:rPr>
                <w:rFonts w:eastAsiaTheme="minorEastAsia" w:cstheme="minorBidi"/>
              </w:rPr>
            </w:pPr>
            <w:r>
              <w:rPr>
                <w:rFonts w:hint="eastAsia" w:eastAsiaTheme="minorEastAsia" w:cstheme="minorBidi"/>
              </w:rPr>
              <w:t>药物制剂</w:t>
            </w:r>
          </w:p>
        </w:tc>
        <w:tc>
          <w:tcPr>
            <w:tcW w:w="2247" w:type="dxa"/>
            <w:noWrap/>
            <w:vAlign w:val="top"/>
          </w:tcPr>
          <w:p>
            <w:pPr>
              <w:pStyle w:val="220"/>
              <w:spacing w:before="0"/>
              <w:rPr>
                <w:rFonts w:eastAsiaTheme="minorEastAsia" w:cstheme="minorBidi"/>
              </w:rPr>
            </w:pPr>
            <w:r>
              <w:rPr>
                <w:rFonts w:hint="eastAsia" w:eastAsiaTheme="minorEastAsia" w:cstheme="minorBidi"/>
              </w:rPr>
              <w:t>94</w:t>
            </w:r>
          </w:p>
        </w:tc>
        <w:tc>
          <w:tcPr>
            <w:tcW w:w="2393" w:type="dxa"/>
            <w:noWrap/>
            <w:vAlign w:val="top"/>
          </w:tcPr>
          <w:p>
            <w:pPr>
              <w:pStyle w:val="220"/>
              <w:spacing w:before="0"/>
              <w:rPr>
                <w:rFonts w:eastAsiaTheme="minorEastAsia" w:cstheme="minorBidi"/>
              </w:rPr>
            </w:pPr>
            <w:r>
              <w:rPr>
                <w:rFonts w:hint="eastAsia" w:eastAsiaTheme="minorEastAsia" w:cstheme="minorBidi"/>
              </w:rPr>
              <w:t>1.84%</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continue"/>
            <w:shd w:val="clear" w:color="auto" w:fill="4472C4" w:themeFill="accent1"/>
            <w:vAlign w:val="center"/>
          </w:tcPr>
          <w:p>
            <w:pPr>
              <w:pStyle w:val="220"/>
              <w:spacing w:before="0"/>
              <w:rPr>
                <w:rFonts w:eastAsiaTheme="minorEastAsia" w:cstheme="minorBidi"/>
                <w:b/>
                <w:bCs/>
                <w:color w:val="FFFFFF" w:themeColor="background1"/>
                <w14:textFill>
                  <w14:solidFill>
                    <w14:schemeClr w14:val="bg1"/>
                  </w14:solidFill>
                </w14:textFill>
              </w:rPr>
            </w:pPr>
          </w:p>
        </w:tc>
        <w:tc>
          <w:tcPr>
            <w:tcW w:w="2539" w:type="dxa"/>
            <w:shd w:val="clear" w:color="auto" w:fill="D9E2F3" w:themeFill="accent1" w:themeFillTint="33"/>
            <w:noWrap/>
            <w:vAlign w:val="top"/>
          </w:tcPr>
          <w:p>
            <w:pPr>
              <w:pStyle w:val="220"/>
              <w:spacing w:before="0"/>
              <w:rPr>
                <w:rFonts w:eastAsiaTheme="minorEastAsia" w:cstheme="minorBidi"/>
              </w:rPr>
            </w:pPr>
            <w:r>
              <w:rPr>
                <w:rFonts w:hint="eastAsia" w:eastAsiaTheme="minorEastAsia" w:cstheme="minorBidi"/>
              </w:rPr>
              <w:t>生物工程</w:t>
            </w:r>
          </w:p>
        </w:tc>
        <w:tc>
          <w:tcPr>
            <w:tcW w:w="2247" w:type="dxa"/>
            <w:shd w:val="clear" w:color="auto" w:fill="D9E2F3" w:themeFill="accent1" w:themeFillTint="33"/>
            <w:noWrap/>
            <w:vAlign w:val="top"/>
          </w:tcPr>
          <w:p>
            <w:pPr>
              <w:pStyle w:val="220"/>
              <w:spacing w:before="0"/>
              <w:rPr>
                <w:rFonts w:eastAsiaTheme="minorEastAsia" w:cstheme="minorBidi"/>
              </w:rPr>
            </w:pPr>
            <w:r>
              <w:rPr>
                <w:rFonts w:hint="eastAsia" w:eastAsiaTheme="minorEastAsia" w:cstheme="minorBidi"/>
              </w:rPr>
              <w:t>68</w:t>
            </w:r>
          </w:p>
        </w:tc>
        <w:tc>
          <w:tcPr>
            <w:tcW w:w="2393" w:type="dxa"/>
            <w:shd w:val="clear" w:color="auto" w:fill="D9E2F3" w:themeFill="accent1" w:themeFillTint="33"/>
            <w:noWrap/>
            <w:vAlign w:val="top"/>
          </w:tcPr>
          <w:p>
            <w:pPr>
              <w:pStyle w:val="220"/>
              <w:spacing w:before="0"/>
              <w:rPr>
                <w:rFonts w:eastAsiaTheme="minorEastAsia" w:cstheme="minorBidi"/>
              </w:rPr>
            </w:pPr>
            <w:r>
              <w:rPr>
                <w:rFonts w:hint="eastAsia" w:eastAsiaTheme="minorEastAsia" w:cstheme="minorBidi"/>
              </w:rPr>
              <w:t>1.33%</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continue"/>
            <w:shd w:val="clear" w:color="auto" w:fill="4472C4" w:themeFill="accent1"/>
            <w:vAlign w:val="center"/>
          </w:tcPr>
          <w:p>
            <w:pPr>
              <w:pStyle w:val="220"/>
              <w:spacing w:before="0"/>
              <w:rPr>
                <w:rFonts w:eastAsiaTheme="minorEastAsia" w:cstheme="minorBidi"/>
                <w:b/>
                <w:bCs/>
                <w:color w:val="FFFFFF" w:themeColor="background1"/>
                <w14:textFill>
                  <w14:solidFill>
                    <w14:schemeClr w14:val="bg1"/>
                  </w14:solidFill>
                </w14:textFill>
              </w:rPr>
            </w:pPr>
          </w:p>
        </w:tc>
        <w:tc>
          <w:tcPr>
            <w:tcW w:w="2539" w:type="dxa"/>
            <w:noWrap/>
            <w:vAlign w:val="top"/>
          </w:tcPr>
          <w:p>
            <w:pPr>
              <w:pStyle w:val="220"/>
              <w:spacing w:before="0"/>
              <w:rPr>
                <w:rFonts w:eastAsiaTheme="minorEastAsia" w:cstheme="minorBidi"/>
              </w:rPr>
            </w:pPr>
            <w:r>
              <w:rPr>
                <w:rFonts w:hint="eastAsia" w:eastAsiaTheme="minorEastAsia" w:cstheme="minorBidi"/>
              </w:rPr>
              <w:t>食品质量与安全</w:t>
            </w:r>
          </w:p>
        </w:tc>
        <w:tc>
          <w:tcPr>
            <w:tcW w:w="2247" w:type="dxa"/>
            <w:noWrap/>
            <w:vAlign w:val="top"/>
          </w:tcPr>
          <w:p>
            <w:pPr>
              <w:pStyle w:val="220"/>
              <w:spacing w:before="0"/>
              <w:rPr>
                <w:rFonts w:eastAsiaTheme="minorEastAsia" w:cstheme="minorBidi"/>
              </w:rPr>
            </w:pPr>
            <w:r>
              <w:rPr>
                <w:rFonts w:hint="eastAsia" w:eastAsiaTheme="minorEastAsia" w:cstheme="minorBidi"/>
              </w:rPr>
              <w:t>52</w:t>
            </w:r>
          </w:p>
        </w:tc>
        <w:tc>
          <w:tcPr>
            <w:tcW w:w="2393" w:type="dxa"/>
            <w:noWrap/>
            <w:vAlign w:val="top"/>
          </w:tcPr>
          <w:p>
            <w:pPr>
              <w:pStyle w:val="220"/>
              <w:spacing w:before="0"/>
              <w:rPr>
                <w:rFonts w:eastAsiaTheme="minorEastAsia" w:cstheme="minorBidi"/>
              </w:rPr>
            </w:pPr>
            <w:r>
              <w:rPr>
                <w:rFonts w:hint="eastAsia" w:eastAsiaTheme="minorEastAsia" w:cstheme="minorBidi"/>
              </w:rPr>
              <w:t>1.02%</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continue"/>
            <w:shd w:val="clear" w:color="auto" w:fill="4472C4" w:themeFill="accent1"/>
            <w:vAlign w:val="center"/>
          </w:tcPr>
          <w:p>
            <w:pPr>
              <w:pStyle w:val="220"/>
              <w:spacing w:before="0"/>
              <w:rPr>
                <w:rFonts w:eastAsiaTheme="minorEastAsia" w:cstheme="minorBidi"/>
                <w:b/>
                <w:bCs/>
                <w:color w:val="FFFFFF" w:themeColor="background1"/>
                <w14:textFill>
                  <w14:solidFill>
                    <w14:schemeClr w14:val="bg1"/>
                  </w14:solidFill>
                </w14:textFill>
              </w:rPr>
            </w:pPr>
          </w:p>
        </w:tc>
        <w:tc>
          <w:tcPr>
            <w:tcW w:w="2539" w:type="dxa"/>
            <w:shd w:val="clear" w:color="auto" w:fill="D9E2F3" w:themeFill="accent1" w:themeFillTint="33"/>
            <w:noWrap/>
            <w:vAlign w:val="top"/>
          </w:tcPr>
          <w:p>
            <w:pPr>
              <w:pStyle w:val="220"/>
              <w:spacing w:before="0"/>
              <w:rPr>
                <w:rFonts w:eastAsiaTheme="minorEastAsia" w:cstheme="minorBidi"/>
                <w:b/>
                <w:bCs/>
              </w:rPr>
            </w:pPr>
            <w:r>
              <w:rPr>
                <w:rFonts w:hint="eastAsia" w:eastAsiaTheme="minorEastAsia" w:cstheme="minorBidi"/>
                <w:b/>
                <w:bCs/>
              </w:rPr>
              <w:t>小计</w:t>
            </w:r>
          </w:p>
        </w:tc>
        <w:tc>
          <w:tcPr>
            <w:tcW w:w="2247" w:type="dxa"/>
            <w:shd w:val="clear" w:color="auto" w:fill="D9E2F3" w:themeFill="accent1" w:themeFillTint="33"/>
            <w:noWrap/>
            <w:vAlign w:val="top"/>
          </w:tcPr>
          <w:p>
            <w:pPr>
              <w:pStyle w:val="220"/>
              <w:spacing w:before="0"/>
              <w:rPr>
                <w:rFonts w:eastAsiaTheme="minorEastAsia" w:cstheme="minorBidi"/>
                <w:b/>
                <w:bCs/>
              </w:rPr>
            </w:pPr>
            <w:r>
              <w:rPr>
                <w:rFonts w:hint="eastAsia" w:eastAsiaTheme="minorEastAsia" w:cstheme="minorBidi"/>
                <w:b/>
                <w:bCs/>
              </w:rPr>
              <w:t>477</w:t>
            </w:r>
          </w:p>
        </w:tc>
        <w:tc>
          <w:tcPr>
            <w:tcW w:w="2393" w:type="dxa"/>
            <w:shd w:val="clear" w:color="auto" w:fill="D9E2F3" w:themeFill="accent1" w:themeFillTint="33"/>
            <w:noWrap/>
            <w:vAlign w:val="top"/>
          </w:tcPr>
          <w:p>
            <w:pPr>
              <w:pStyle w:val="220"/>
              <w:spacing w:before="0"/>
              <w:rPr>
                <w:rFonts w:eastAsiaTheme="minorEastAsia" w:cstheme="minorBidi"/>
                <w:b/>
                <w:bCs/>
              </w:rPr>
            </w:pPr>
            <w:r>
              <w:rPr>
                <w:rFonts w:hint="eastAsia" w:eastAsiaTheme="minorEastAsia" w:cstheme="minorBidi"/>
                <w:b/>
                <w:bCs/>
              </w:rPr>
              <w:t>9.33%</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restart"/>
            <w:shd w:val="clear" w:color="auto" w:fill="4472C4" w:themeFill="accent1"/>
            <w:noWrap/>
            <w:vAlign w:val="center"/>
          </w:tcPr>
          <w:p>
            <w:pPr>
              <w:pStyle w:val="220"/>
              <w:spacing w:before="0"/>
              <w:rPr>
                <w:rFonts w:eastAsiaTheme="minorEastAsia" w:cstheme="minorBidi"/>
                <w:b/>
                <w:bCs/>
                <w:color w:val="FFFFFF" w:themeColor="background1"/>
                <w14:textFill>
                  <w14:solidFill>
                    <w14:schemeClr w14:val="bg1"/>
                  </w14:solidFill>
                </w14:textFill>
              </w:rPr>
            </w:pPr>
            <w:r>
              <w:rPr>
                <w:rFonts w:hint="eastAsia" w:eastAsiaTheme="minorEastAsia" w:cstheme="minorBidi"/>
                <w:b/>
                <w:bCs/>
                <w:color w:val="FFFFFF" w:themeColor="background1"/>
                <w:szCs w:val="21"/>
                <w14:textFill>
                  <w14:solidFill>
                    <w14:schemeClr w14:val="bg1"/>
                  </w14:solidFill>
                </w14:textFill>
              </w:rPr>
              <w:t>建筑与土木工程学院</w:t>
            </w:r>
          </w:p>
        </w:tc>
        <w:tc>
          <w:tcPr>
            <w:tcW w:w="2539" w:type="dxa"/>
            <w:noWrap/>
            <w:vAlign w:val="top"/>
          </w:tcPr>
          <w:p>
            <w:pPr>
              <w:pStyle w:val="220"/>
              <w:spacing w:before="0"/>
              <w:rPr>
                <w:rFonts w:eastAsiaTheme="minorEastAsia" w:cstheme="minorBidi"/>
              </w:rPr>
            </w:pPr>
            <w:r>
              <w:rPr>
                <w:rFonts w:hint="eastAsia" w:eastAsiaTheme="minorEastAsia" w:cstheme="minorBidi"/>
              </w:rPr>
              <w:t>土木工程</w:t>
            </w:r>
          </w:p>
        </w:tc>
        <w:tc>
          <w:tcPr>
            <w:tcW w:w="2247" w:type="dxa"/>
            <w:noWrap/>
            <w:vAlign w:val="top"/>
          </w:tcPr>
          <w:p>
            <w:pPr>
              <w:pStyle w:val="220"/>
              <w:spacing w:before="0"/>
              <w:rPr>
                <w:rFonts w:eastAsiaTheme="minorEastAsia" w:cstheme="minorBidi"/>
                <w:color w:val="000000"/>
                <w:kern w:val="0"/>
                <w:szCs w:val="21"/>
              </w:rPr>
            </w:pPr>
            <w:r>
              <w:rPr>
                <w:rFonts w:hint="eastAsia" w:eastAsiaTheme="minorEastAsia" w:cstheme="minorBidi"/>
              </w:rPr>
              <w:t>223</w:t>
            </w:r>
          </w:p>
        </w:tc>
        <w:tc>
          <w:tcPr>
            <w:tcW w:w="2393" w:type="dxa"/>
            <w:noWrap/>
            <w:vAlign w:val="top"/>
          </w:tcPr>
          <w:p>
            <w:pPr>
              <w:pStyle w:val="220"/>
              <w:spacing w:before="0"/>
              <w:rPr>
                <w:rFonts w:eastAsiaTheme="minorEastAsia" w:cstheme="minorBidi"/>
                <w:color w:val="000000"/>
                <w:kern w:val="0"/>
                <w:szCs w:val="21"/>
              </w:rPr>
            </w:pPr>
            <w:r>
              <w:rPr>
                <w:rFonts w:hint="eastAsia" w:eastAsiaTheme="minorEastAsia" w:cstheme="minorBidi"/>
              </w:rPr>
              <w:t>4.36%</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continue"/>
            <w:shd w:val="clear" w:color="auto" w:fill="4472C4" w:themeFill="accent1"/>
            <w:noWrap/>
            <w:vAlign w:val="center"/>
          </w:tcPr>
          <w:p>
            <w:pPr>
              <w:pStyle w:val="220"/>
              <w:spacing w:before="100"/>
              <w:rPr>
                <w:rFonts w:eastAsiaTheme="minorEastAsia" w:cstheme="minorBidi"/>
                <w:b/>
                <w:bCs/>
                <w:color w:val="FFFFFF" w:themeColor="background1"/>
                <w:szCs w:val="21"/>
                <w14:textFill>
                  <w14:solidFill>
                    <w14:schemeClr w14:val="bg1"/>
                  </w14:solidFill>
                </w14:textFill>
              </w:rPr>
            </w:pPr>
          </w:p>
        </w:tc>
        <w:tc>
          <w:tcPr>
            <w:tcW w:w="2539" w:type="dxa"/>
            <w:shd w:val="clear" w:color="auto" w:fill="D9E2F3" w:themeFill="accent1" w:themeFillTint="33"/>
            <w:noWrap/>
            <w:vAlign w:val="top"/>
          </w:tcPr>
          <w:p>
            <w:pPr>
              <w:pStyle w:val="220"/>
              <w:spacing w:before="100"/>
              <w:rPr>
                <w:rFonts w:eastAsiaTheme="minorEastAsia" w:cstheme="minorBidi"/>
                <w:b/>
                <w:color w:val="000000"/>
                <w:szCs w:val="21"/>
              </w:rPr>
            </w:pPr>
            <w:r>
              <w:rPr>
                <w:rFonts w:hint="eastAsia" w:eastAsiaTheme="minorEastAsia" w:cstheme="minorBidi"/>
              </w:rPr>
              <w:t>给排水科学与工程</w:t>
            </w:r>
          </w:p>
        </w:tc>
        <w:tc>
          <w:tcPr>
            <w:tcW w:w="2247" w:type="dxa"/>
            <w:shd w:val="clear" w:color="auto" w:fill="D9E2F3" w:themeFill="accent1" w:themeFillTint="33"/>
            <w:noWrap/>
            <w:vAlign w:val="top"/>
          </w:tcPr>
          <w:p>
            <w:pPr>
              <w:pStyle w:val="220"/>
              <w:spacing w:before="100"/>
              <w:rPr>
                <w:rFonts w:eastAsiaTheme="minorEastAsia" w:cstheme="minorBidi"/>
                <w:b/>
                <w:color w:val="000000"/>
                <w:szCs w:val="21"/>
              </w:rPr>
            </w:pPr>
            <w:r>
              <w:rPr>
                <w:rFonts w:hint="eastAsia" w:eastAsiaTheme="minorEastAsia" w:cstheme="minorBidi"/>
              </w:rPr>
              <w:t>113</w:t>
            </w:r>
          </w:p>
        </w:tc>
        <w:tc>
          <w:tcPr>
            <w:tcW w:w="2393" w:type="dxa"/>
            <w:shd w:val="clear" w:color="auto" w:fill="D9E2F3" w:themeFill="accent1" w:themeFillTint="33"/>
            <w:noWrap/>
            <w:vAlign w:val="top"/>
          </w:tcPr>
          <w:p>
            <w:pPr>
              <w:pStyle w:val="220"/>
              <w:spacing w:before="100"/>
              <w:rPr>
                <w:rFonts w:eastAsiaTheme="minorEastAsia" w:cstheme="minorBidi"/>
                <w:b/>
                <w:color w:val="000000"/>
                <w:szCs w:val="21"/>
              </w:rPr>
            </w:pPr>
            <w:r>
              <w:rPr>
                <w:rFonts w:hint="eastAsia" w:eastAsiaTheme="minorEastAsia" w:cstheme="minorBidi"/>
              </w:rPr>
              <w:t>2.21%</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continue"/>
            <w:shd w:val="clear" w:color="auto" w:fill="4472C4" w:themeFill="accent1"/>
            <w:noWrap/>
            <w:vAlign w:val="center"/>
          </w:tcPr>
          <w:p>
            <w:pPr>
              <w:pStyle w:val="220"/>
              <w:spacing w:before="100"/>
              <w:rPr>
                <w:rFonts w:eastAsiaTheme="minorEastAsia" w:cstheme="minorBidi"/>
                <w:b/>
                <w:bCs/>
                <w:color w:val="FFFFFF" w:themeColor="background1"/>
                <w:szCs w:val="21"/>
                <w14:textFill>
                  <w14:solidFill>
                    <w14:schemeClr w14:val="bg1"/>
                  </w14:solidFill>
                </w14:textFill>
              </w:rPr>
            </w:pPr>
          </w:p>
        </w:tc>
        <w:tc>
          <w:tcPr>
            <w:tcW w:w="2539" w:type="dxa"/>
            <w:noWrap/>
            <w:vAlign w:val="top"/>
          </w:tcPr>
          <w:p>
            <w:pPr>
              <w:pStyle w:val="220"/>
              <w:spacing w:before="100"/>
              <w:rPr>
                <w:rFonts w:eastAsiaTheme="minorEastAsia" w:cstheme="minorBidi"/>
                <w:b/>
                <w:color w:val="000000"/>
                <w:szCs w:val="21"/>
              </w:rPr>
            </w:pPr>
            <w:r>
              <w:rPr>
                <w:rFonts w:hint="eastAsia" w:eastAsiaTheme="minorEastAsia" w:cstheme="minorBidi"/>
              </w:rPr>
              <w:t>建筑学</w:t>
            </w:r>
          </w:p>
        </w:tc>
        <w:tc>
          <w:tcPr>
            <w:tcW w:w="2247" w:type="dxa"/>
            <w:noWrap/>
            <w:vAlign w:val="top"/>
          </w:tcPr>
          <w:p>
            <w:pPr>
              <w:pStyle w:val="220"/>
              <w:spacing w:before="100"/>
              <w:rPr>
                <w:rFonts w:eastAsiaTheme="minorEastAsia" w:cstheme="minorBidi"/>
                <w:b/>
                <w:color w:val="000000"/>
                <w:szCs w:val="21"/>
              </w:rPr>
            </w:pPr>
            <w:r>
              <w:rPr>
                <w:rFonts w:hint="eastAsia" w:eastAsiaTheme="minorEastAsia" w:cstheme="minorBidi"/>
              </w:rPr>
              <w:t>75</w:t>
            </w:r>
          </w:p>
        </w:tc>
        <w:tc>
          <w:tcPr>
            <w:tcW w:w="2393" w:type="dxa"/>
            <w:noWrap/>
            <w:vAlign w:val="top"/>
          </w:tcPr>
          <w:p>
            <w:pPr>
              <w:pStyle w:val="220"/>
              <w:spacing w:before="100"/>
              <w:rPr>
                <w:rFonts w:eastAsiaTheme="minorEastAsia" w:cstheme="minorBidi"/>
                <w:b/>
                <w:color w:val="000000"/>
                <w:szCs w:val="21"/>
              </w:rPr>
            </w:pPr>
            <w:r>
              <w:rPr>
                <w:rFonts w:hint="eastAsia" w:eastAsiaTheme="minorEastAsia" w:cstheme="minorBidi"/>
              </w:rPr>
              <w:t>1.47%</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continue"/>
            <w:shd w:val="clear" w:color="auto" w:fill="4472C4" w:themeFill="accent1"/>
            <w:noWrap/>
            <w:vAlign w:val="center"/>
          </w:tcPr>
          <w:p>
            <w:pPr>
              <w:pStyle w:val="220"/>
              <w:spacing w:before="100"/>
              <w:rPr>
                <w:rFonts w:eastAsiaTheme="minorEastAsia" w:cstheme="minorBidi"/>
                <w:b/>
                <w:bCs/>
                <w:color w:val="FFFFFF" w:themeColor="background1"/>
                <w:szCs w:val="21"/>
                <w14:textFill>
                  <w14:solidFill>
                    <w14:schemeClr w14:val="bg1"/>
                  </w14:solidFill>
                </w14:textFill>
              </w:rPr>
            </w:pPr>
          </w:p>
        </w:tc>
        <w:tc>
          <w:tcPr>
            <w:tcW w:w="2539" w:type="dxa"/>
            <w:shd w:val="clear" w:color="auto" w:fill="D9E2F3" w:themeFill="accent1" w:themeFillTint="33"/>
            <w:noWrap/>
            <w:vAlign w:val="top"/>
          </w:tcPr>
          <w:p>
            <w:pPr>
              <w:pStyle w:val="220"/>
              <w:spacing w:before="0"/>
              <w:rPr>
                <w:rFonts w:eastAsiaTheme="minorEastAsia" w:cstheme="minorBidi"/>
                <w:b/>
                <w:bCs/>
                <w:color w:val="000000"/>
                <w:szCs w:val="21"/>
              </w:rPr>
            </w:pPr>
            <w:r>
              <w:rPr>
                <w:rFonts w:hint="eastAsia" w:eastAsiaTheme="minorEastAsia" w:cstheme="minorBidi"/>
                <w:b/>
                <w:bCs/>
              </w:rPr>
              <w:t>小计</w:t>
            </w:r>
          </w:p>
        </w:tc>
        <w:tc>
          <w:tcPr>
            <w:tcW w:w="2247" w:type="dxa"/>
            <w:shd w:val="clear" w:color="auto" w:fill="D9E2F3" w:themeFill="accent1" w:themeFillTint="33"/>
            <w:noWrap/>
            <w:vAlign w:val="top"/>
          </w:tcPr>
          <w:p>
            <w:pPr>
              <w:pStyle w:val="220"/>
              <w:spacing w:before="0"/>
              <w:rPr>
                <w:rFonts w:eastAsiaTheme="minorEastAsia" w:cstheme="minorBidi"/>
                <w:b/>
                <w:bCs/>
                <w:color w:val="000000"/>
                <w:szCs w:val="21"/>
              </w:rPr>
            </w:pPr>
            <w:r>
              <w:rPr>
                <w:rFonts w:hint="eastAsia" w:eastAsiaTheme="minorEastAsia" w:cstheme="minorBidi"/>
                <w:b/>
                <w:bCs/>
              </w:rPr>
              <w:t>411</w:t>
            </w:r>
          </w:p>
        </w:tc>
        <w:tc>
          <w:tcPr>
            <w:tcW w:w="2393" w:type="dxa"/>
            <w:shd w:val="clear" w:color="auto" w:fill="D9E2F3" w:themeFill="accent1" w:themeFillTint="33"/>
            <w:noWrap/>
            <w:vAlign w:val="top"/>
          </w:tcPr>
          <w:p>
            <w:pPr>
              <w:pStyle w:val="220"/>
              <w:spacing w:before="0"/>
              <w:rPr>
                <w:rFonts w:eastAsiaTheme="minorEastAsia" w:cstheme="minorBidi"/>
                <w:b/>
                <w:bCs/>
                <w:color w:val="000000"/>
                <w:szCs w:val="21"/>
              </w:rPr>
            </w:pPr>
            <w:r>
              <w:rPr>
                <w:rFonts w:hint="eastAsia" w:eastAsiaTheme="minorEastAsia" w:cstheme="minorBidi"/>
                <w:b/>
                <w:bCs/>
              </w:rPr>
              <w:t>8.04%</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restart"/>
            <w:shd w:val="clear" w:color="auto" w:fill="4472C4" w:themeFill="accent1"/>
            <w:noWrap/>
            <w:vAlign w:val="center"/>
          </w:tcPr>
          <w:p>
            <w:pPr>
              <w:pStyle w:val="220"/>
              <w:spacing w:before="0"/>
              <w:rPr>
                <w:rFonts w:eastAsiaTheme="minorEastAsia" w:cstheme="minorBidi"/>
                <w:b/>
                <w:bCs/>
                <w:color w:val="FFFFFF" w:themeColor="background1"/>
                <w14:textFill>
                  <w14:solidFill>
                    <w14:schemeClr w14:val="bg1"/>
                  </w14:solidFill>
                </w14:textFill>
              </w:rPr>
            </w:pPr>
            <w:r>
              <w:rPr>
                <w:rFonts w:hint="eastAsia" w:eastAsiaTheme="minorEastAsia" w:cstheme="minorBidi"/>
                <w:b/>
                <w:bCs/>
                <w:color w:val="FFFFFF" w:themeColor="background1"/>
                <w:szCs w:val="21"/>
                <w14:textFill>
                  <w14:solidFill>
                    <w14:schemeClr w14:val="bg1"/>
                  </w14:solidFill>
                </w14:textFill>
              </w:rPr>
              <w:t>机械与车辆工程学院</w:t>
            </w:r>
          </w:p>
        </w:tc>
        <w:tc>
          <w:tcPr>
            <w:tcW w:w="2539" w:type="dxa"/>
            <w:noWrap/>
            <w:vAlign w:val="top"/>
          </w:tcPr>
          <w:p>
            <w:pPr>
              <w:pStyle w:val="220"/>
              <w:spacing w:before="0"/>
              <w:rPr>
                <w:rFonts w:eastAsiaTheme="minorEastAsia" w:cstheme="minorBidi"/>
                <w:color w:val="000000"/>
                <w:szCs w:val="21"/>
              </w:rPr>
            </w:pPr>
            <w:r>
              <w:rPr>
                <w:rFonts w:hint="eastAsia" w:eastAsiaTheme="minorEastAsia" w:cstheme="minorBidi"/>
              </w:rPr>
              <w:t>机械设计制造及其自动化</w:t>
            </w:r>
          </w:p>
        </w:tc>
        <w:tc>
          <w:tcPr>
            <w:tcW w:w="2247" w:type="dxa"/>
            <w:noWrap/>
            <w:vAlign w:val="top"/>
          </w:tcPr>
          <w:p>
            <w:pPr>
              <w:pStyle w:val="220"/>
              <w:spacing w:before="0"/>
              <w:rPr>
                <w:rFonts w:eastAsiaTheme="minorEastAsia" w:cstheme="minorBidi"/>
                <w:color w:val="000000"/>
                <w:szCs w:val="21"/>
              </w:rPr>
            </w:pPr>
            <w:r>
              <w:rPr>
                <w:rFonts w:hint="eastAsia" w:eastAsiaTheme="minorEastAsia" w:cstheme="minorBidi"/>
              </w:rPr>
              <w:t>191</w:t>
            </w:r>
          </w:p>
        </w:tc>
        <w:tc>
          <w:tcPr>
            <w:tcW w:w="2393" w:type="dxa"/>
            <w:noWrap/>
            <w:vAlign w:val="top"/>
          </w:tcPr>
          <w:p>
            <w:pPr>
              <w:pStyle w:val="220"/>
              <w:spacing w:before="0"/>
              <w:rPr>
                <w:rFonts w:eastAsiaTheme="minorEastAsia" w:cstheme="minorBidi"/>
                <w:color w:val="000000"/>
                <w:szCs w:val="21"/>
              </w:rPr>
            </w:pPr>
            <w:r>
              <w:rPr>
                <w:rFonts w:hint="eastAsia" w:eastAsiaTheme="minorEastAsia" w:cstheme="minorBidi"/>
              </w:rPr>
              <w:t>3.74%</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continue"/>
            <w:shd w:val="clear" w:color="auto" w:fill="4472C4" w:themeFill="accent1"/>
            <w:vAlign w:val="center"/>
          </w:tcPr>
          <w:p>
            <w:pPr>
              <w:pStyle w:val="220"/>
              <w:spacing w:before="100"/>
              <w:rPr>
                <w:rFonts w:eastAsiaTheme="minorEastAsia" w:cstheme="minorBidi"/>
                <w:b w:val="0"/>
                <w:bCs/>
              </w:rPr>
            </w:pPr>
          </w:p>
        </w:tc>
        <w:tc>
          <w:tcPr>
            <w:tcW w:w="2539" w:type="dxa"/>
            <w:shd w:val="clear" w:color="auto" w:fill="D9E2F3" w:themeFill="accent1" w:themeFillTint="33"/>
            <w:noWrap/>
            <w:vAlign w:val="top"/>
          </w:tcPr>
          <w:p>
            <w:pPr>
              <w:pStyle w:val="220"/>
              <w:spacing w:before="100"/>
              <w:rPr>
                <w:rFonts w:eastAsiaTheme="minorEastAsia" w:cstheme="minorBidi"/>
                <w:color w:val="000000"/>
                <w:szCs w:val="21"/>
              </w:rPr>
            </w:pPr>
            <w:r>
              <w:rPr>
                <w:rFonts w:hint="eastAsia" w:eastAsiaTheme="minorEastAsia" w:cstheme="minorBidi"/>
              </w:rPr>
              <w:t>汽车服务工程</w:t>
            </w:r>
          </w:p>
        </w:tc>
        <w:tc>
          <w:tcPr>
            <w:tcW w:w="2247" w:type="dxa"/>
            <w:shd w:val="clear" w:color="auto" w:fill="D9E2F3" w:themeFill="accent1" w:themeFillTint="33"/>
            <w:noWrap/>
            <w:vAlign w:val="top"/>
          </w:tcPr>
          <w:p>
            <w:pPr>
              <w:pStyle w:val="220"/>
              <w:spacing w:before="100"/>
              <w:rPr>
                <w:rFonts w:eastAsiaTheme="minorEastAsia" w:cstheme="minorBidi"/>
                <w:color w:val="000000"/>
                <w:szCs w:val="21"/>
              </w:rPr>
            </w:pPr>
            <w:r>
              <w:rPr>
                <w:rFonts w:hint="eastAsia" w:eastAsiaTheme="minorEastAsia" w:cstheme="minorBidi"/>
              </w:rPr>
              <w:t>134</w:t>
            </w:r>
          </w:p>
        </w:tc>
        <w:tc>
          <w:tcPr>
            <w:tcW w:w="2393" w:type="dxa"/>
            <w:shd w:val="clear" w:color="auto" w:fill="D9E2F3" w:themeFill="accent1" w:themeFillTint="33"/>
            <w:noWrap/>
            <w:vAlign w:val="top"/>
          </w:tcPr>
          <w:p>
            <w:pPr>
              <w:pStyle w:val="220"/>
              <w:spacing w:before="100"/>
              <w:rPr>
                <w:rFonts w:eastAsiaTheme="minorEastAsia" w:cstheme="minorBidi"/>
                <w:color w:val="000000"/>
                <w:szCs w:val="21"/>
              </w:rPr>
            </w:pPr>
            <w:r>
              <w:rPr>
                <w:rFonts w:hint="eastAsia" w:eastAsiaTheme="minorEastAsia" w:cstheme="minorBidi"/>
              </w:rPr>
              <w:t>2.62%</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continue"/>
            <w:shd w:val="clear" w:color="auto" w:fill="4472C4" w:themeFill="accent1"/>
            <w:vAlign w:val="center"/>
          </w:tcPr>
          <w:p>
            <w:pPr>
              <w:pStyle w:val="220"/>
              <w:spacing w:before="0"/>
              <w:rPr>
                <w:rFonts w:eastAsiaTheme="minorEastAsia" w:cstheme="minorBidi"/>
                <w:b w:val="0"/>
                <w:bCs/>
              </w:rPr>
            </w:pPr>
          </w:p>
        </w:tc>
        <w:tc>
          <w:tcPr>
            <w:tcW w:w="2539" w:type="dxa"/>
            <w:noWrap/>
            <w:vAlign w:val="top"/>
          </w:tcPr>
          <w:p>
            <w:pPr>
              <w:pStyle w:val="220"/>
              <w:spacing w:before="0"/>
              <w:rPr>
                <w:rFonts w:eastAsiaTheme="minorEastAsia" w:cstheme="minorBidi"/>
                <w:color w:val="000000"/>
                <w:szCs w:val="21"/>
              </w:rPr>
            </w:pPr>
            <w:r>
              <w:rPr>
                <w:rFonts w:hint="eastAsia" w:eastAsiaTheme="minorEastAsia" w:cstheme="minorBidi"/>
              </w:rPr>
              <w:t>材料成型及控制工程</w:t>
            </w:r>
          </w:p>
        </w:tc>
        <w:tc>
          <w:tcPr>
            <w:tcW w:w="2247" w:type="dxa"/>
            <w:noWrap/>
            <w:vAlign w:val="top"/>
          </w:tcPr>
          <w:p>
            <w:pPr>
              <w:pStyle w:val="220"/>
              <w:spacing w:before="0"/>
              <w:rPr>
                <w:rFonts w:eastAsiaTheme="minorEastAsia" w:cstheme="minorBidi"/>
                <w:color w:val="000000"/>
                <w:szCs w:val="21"/>
              </w:rPr>
            </w:pPr>
            <w:r>
              <w:rPr>
                <w:rFonts w:hint="eastAsia" w:eastAsiaTheme="minorEastAsia" w:cstheme="minorBidi"/>
              </w:rPr>
              <w:t>72</w:t>
            </w:r>
          </w:p>
        </w:tc>
        <w:tc>
          <w:tcPr>
            <w:tcW w:w="2393" w:type="dxa"/>
            <w:noWrap/>
            <w:vAlign w:val="top"/>
          </w:tcPr>
          <w:p>
            <w:pPr>
              <w:pStyle w:val="220"/>
              <w:spacing w:before="0"/>
              <w:rPr>
                <w:rFonts w:eastAsiaTheme="minorEastAsia" w:cstheme="minorBidi"/>
                <w:color w:val="000000"/>
                <w:szCs w:val="21"/>
              </w:rPr>
            </w:pPr>
            <w:r>
              <w:rPr>
                <w:rFonts w:hint="eastAsia" w:eastAsiaTheme="minorEastAsia" w:cstheme="minorBidi"/>
              </w:rPr>
              <w:t>1.41%</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continue"/>
            <w:shd w:val="clear" w:color="auto" w:fill="4472C4" w:themeFill="accent1"/>
            <w:vAlign w:val="center"/>
          </w:tcPr>
          <w:p>
            <w:pPr>
              <w:pStyle w:val="220"/>
              <w:spacing w:before="100"/>
              <w:rPr>
                <w:rFonts w:eastAsiaTheme="minorEastAsia" w:cstheme="minorBidi"/>
                <w:b w:val="0"/>
                <w:bCs/>
              </w:rPr>
            </w:pPr>
          </w:p>
        </w:tc>
        <w:tc>
          <w:tcPr>
            <w:tcW w:w="2539" w:type="dxa"/>
            <w:shd w:val="clear" w:color="auto" w:fill="D9E2F3" w:themeFill="accent1" w:themeFillTint="33"/>
            <w:noWrap/>
            <w:vAlign w:val="top"/>
          </w:tcPr>
          <w:p>
            <w:pPr>
              <w:pStyle w:val="220"/>
              <w:spacing w:before="0"/>
              <w:rPr>
                <w:rFonts w:eastAsiaTheme="minorEastAsia" w:cstheme="minorBidi"/>
                <w:b/>
                <w:bCs/>
                <w:color w:val="000000"/>
                <w:szCs w:val="21"/>
              </w:rPr>
            </w:pPr>
            <w:r>
              <w:rPr>
                <w:rFonts w:hint="eastAsia" w:eastAsiaTheme="minorEastAsia" w:cstheme="minorBidi"/>
                <w:b/>
                <w:bCs/>
              </w:rPr>
              <w:t>小计</w:t>
            </w:r>
          </w:p>
        </w:tc>
        <w:tc>
          <w:tcPr>
            <w:tcW w:w="2247" w:type="dxa"/>
            <w:shd w:val="clear" w:color="auto" w:fill="D9E2F3" w:themeFill="accent1" w:themeFillTint="33"/>
            <w:noWrap/>
            <w:vAlign w:val="top"/>
          </w:tcPr>
          <w:p>
            <w:pPr>
              <w:pStyle w:val="220"/>
              <w:spacing w:before="0"/>
              <w:rPr>
                <w:rFonts w:eastAsiaTheme="minorEastAsia" w:cstheme="minorBidi"/>
                <w:b/>
                <w:bCs/>
                <w:color w:val="000000"/>
                <w:szCs w:val="21"/>
              </w:rPr>
            </w:pPr>
            <w:r>
              <w:rPr>
                <w:rFonts w:hint="eastAsia" w:eastAsiaTheme="minorEastAsia" w:cstheme="minorBidi"/>
                <w:b/>
                <w:bCs/>
              </w:rPr>
              <w:t>397</w:t>
            </w:r>
          </w:p>
        </w:tc>
        <w:tc>
          <w:tcPr>
            <w:tcW w:w="2393" w:type="dxa"/>
            <w:shd w:val="clear" w:color="auto" w:fill="D9E2F3" w:themeFill="accent1" w:themeFillTint="33"/>
            <w:noWrap/>
            <w:vAlign w:val="top"/>
          </w:tcPr>
          <w:p>
            <w:pPr>
              <w:pStyle w:val="220"/>
              <w:spacing w:before="0"/>
              <w:rPr>
                <w:rFonts w:eastAsiaTheme="minorEastAsia" w:cstheme="minorBidi"/>
                <w:b/>
                <w:bCs/>
                <w:color w:val="000000"/>
                <w:szCs w:val="21"/>
              </w:rPr>
            </w:pPr>
            <w:r>
              <w:rPr>
                <w:rFonts w:hint="eastAsia" w:eastAsiaTheme="minorEastAsia" w:cstheme="minorBidi"/>
                <w:b/>
                <w:bCs/>
              </w:rPr>
              <w:t>7.77%</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restart"/>
            <w:shd w:val="clear" w:color="auto" w:fill="4472C4" w:themeFill="accent1"/>
            <w:vAlign w:val="center"/>
          </w:tcPr>
          <w:p>
            <w:pPr>
              <w:pStyle w:val="220"/>
              <w:spacing w:before="100"/>
              <w:rPr>
                <w:rFonts w:eastAsiaTheme="minorEastAsia" w:cstheme="minorBidi"/>
                <w:b/>
                <w:bCs w:val="0"/>
              </w:rPr>
            </w:pPr>
            <w:r>
              <w:rPr>
                <w:rFonts w:hint="eastAsia" w:eastAsiaTheme="minorEastAsia" w:cstheme="minorBidi"/>
                <w:b/>
                <w:bCs w:val="0"/>
                <w:color w:val="FFFFFF" w:themeColor="background1"/>
                <w14:textFill>
                  <w14:solidFill>
                    <w14:schemeClr w14:val="bg1"/>
                  </w14:solidFill>
                </w14:textFill>
              </w:rPr>
              <w:t>金融与数学学院</w:t>
            </w:r>
          </w:p>
        </w:tc>
        <w:tc>
          <w:tcPr>
            <w:tcW w:w="2539" w:type="dxa"/>
            <w:noWrap/>
            <w:vAlign w:val="center"/>
          </w:tcPr>
          <w:p>
            <w:pPr>
              <w:pStyle w:val="220"/>
              <w:spacing w:before="100"/>
              <w:rPr>
                <w:rFonts w:eastAsiaTheme="minorEastAsia" w:cstheme="minorBidi"/>
                <w:szCs w:val="21"/>
              </w:rPr>
            </w:pPr>
            <w:r>
              <w:rPr>
                <w:rFonts w:hint="eastAsia" w:eastAsiaTheme="minorEastAsia" w:cstheme="minorBidi"/>
                <w:color w:val="000000"/>
                <w:szCs w:val="21"/>
              </w:rPr>
              <w:t>金融工程</w:t>
            </w:r>
          </w:p>
        </w:tc>
        <w:tc>
          <w:tcPr>
            <w:tcW w:w="2247" w:type="dxa"/>
            <w:noWrap/>
            <w:vAlign w:val="center"/>
          </w:tcPr>
          <w:p>
            <w:pPr>
              <w:pStyle w:val="220"/>
              <w:spacing w:before="100"/>
              <w:rPr>
                <w:rFonts w:eastAsiaTheme="minorEastAsia" w:cstheme="minorBidi"/>
                <w:szCs w:val="21"/>
              </w:rPr>
            </w:pPr>
            <w:r>
              <w:rPr>
                <w:rFonts w:hint="eastAsia" w:eastAsiaTheme="minorEastAsia" w:cstheme="minorBidi"/>
                <w:color w:val="000000"/>
                <w:szCs w:val="21"/>
              </w:rPr>
              <w:t>133</w:t>
            </w:r>
          </w:p>
        </w:tc>
        <w:tc>
          <w:tcPr>
            <w:tcW w:w="2393" w:type="dxa"/>
            <w:noWrap/>
            <w:vAlign w:val="center"/>
          </w:tcPr>
          <w:p>
            <w:pPr>
              <w:pStyle w:val="220"/>
              <w:spacing w:before="100"/>
              <w:rPr>
                <w:rFonts w:eastAsiaTheme="minorEastAsia" w:cstheme="minorBidi"/>
                <w:szCs w:val="21"/>
              </w:rPr>
            </w:pPr>
            <w:r>
              <w:rPr>
                <w:rFonts w:hint="eastAsia" w:eastAsiaTheme="minorEastAsia" w:cstheme="minorBidi"/>
                <w:color w:val="000000"/>
                <w:szCs w:val="21"/>
              </w:rPr>
              <w:t>2.60%</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continue"/>
            <w:shd w:val="clear" w:color="auto" w:fill="4472C4" w:themeFill="accent1"/>
            <w:vAlign w:val="center"/>
          </w:tcPr>
          <w:p>
            <w:pPr>
              <w:pStyle w:val="220"/>
              <w:spacing w:before="100"/>
              <w:rPr>
                <w:rFonts w:eastAsiaTheme="minorEastAsia" w:cstheme="minorBidi"/>
                <w:b w:val="0"/>
                <w:bCs/>
              </w:rPr>
            </w:pPr>
          </w:p>
        </w:tc>
        <w:tc>
          <w:tcPr>
            <w:tcW w:w="2539" w:type="dxa"/>
            <w:shd w:val="clear" w:color="auto" w:fill="D9E2F3" w:themeFill="accent1" w:themeFillTint="33"/>
            <w:noWrap/>
            <w:vAlign w:val="center"/>
          </w:tcPr>
          <w:p>
            <w:pPr>
              <w:pStyle w:val="220"/>
              <w:spacing w:before="100"/>
              <w:rPr>
                <w:rFonts w:eastAsiaTheme="minorEastAsia" w:cstheme="minorBidi"/>
                <w:szCs w:val="21"/>
              </w:rPr>
            </w:pPr>
            <w:r>
              <w:rPr>
                <w:rFonts w:hint="eastAsia" w:eastAsiaTheme="minorEastAsia" w:cstheme="minorBidi"/>
                <w:color w:val="000000"/>
                <w:szCs w:val="21"/>
              </w:rPr>
              <w:t>经济与金融</w:t>
            </w:r>
          </w:p>
        </w:tc>
        <w:tc>
          <w:tcPr>
            <w:tcW w:w="2247" w:type="dxa"/>
            <w:shd w:val="clear" w:color="auto" w:fill="D9E2F3" w:themeFill="accent1" w:themeFillTint="33"/>
            <w:noWrap/>
            <w:vAlign w:val="center"/>
          </w:tcPr>
          <w:p>
            <w:pPr>
              <w:pStyle w:val="220"/>
              <w:spacing w:before="0"/>
              <w:rPr>
                <w:rFonts w:eastAsiaTheme="minorEastAsia" w:cstheme="minorBidi"/>
                <w:szCs w:val="21"/>
              </w:rPr>
            </w:pPr>
            <w:r>
              <w:rPr>
                <w:rFonts w:hint="eastAsia" w:eastAsiaTheme="minorEastAsia" w:cstheme="minorBidi"/>
                <w:szCs w:val="21"/>
              </w:rPr>
              <w:t>109</w:t>
            </w:r>
          </w:p>
        </w:tc>
        <w:tc>
          <w:tcPr>
            <w:tcW w:w="2393" w:type="dxa"/>
            <w:shd w:val="clear" w:color="auto" w:fill="D9E2F3" w:themeFill="accent1" w:themeFillTint="33"/>
            <w:noWrap/>
            <w:vAlign w:val="center"/>
          </w:tcPr>
          <w:p>
            <w:pPr>
              <w:pStyle w:val="220"/>
              <w:spacing w:before="100"/>
              <w:rPr>
                <w:rFonts w:eastAsiaTheme="minorEastAsia" w:cstheme="minorBidi"/>
                <w:szCs w:val="21"/>
              </w:rPr>
            </w:pPr>
            <w:r>
              <w:rPr>
                <w:rFonts w:hint="eastAsia" w:eastAsiaTheme="minorEastAsia" w:cstheme="minorBidi"/>
                <w:color w:val="000000"/>
                <w:szCs w:val="21"/>
              </w:rPr>
              <w:t>2.13%</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continue"/>
            <w:shd w:val="clear" w:color="auto" w:fill="4472C4" w:themeFill="accent1"/>
            <w:vAlign w:val="center"/>
          </w:tcPr>
          <w:p>
            <w:pPr>
              <w:pStyle w:val="220"/>
              <w:spacing w:before="100"/>
              <w:rPr>
                <w:rFonts w:eastAsiaTheme="minorEastAsia" w:cstheme="minorBidi"/>
                <w:b w:val="0"/>
                <w:bCs/>
              </w:rPr>
            </w:pPr>
          </w:p>
        </w:tc>
        <w:tc>
          <w:tcPr>
            <w:tcW w:w="2539" w:type="dxa"/>
            <w:noWrap/>
            <w:vAlign w:val="center"/>
          </w:tcPr>
          <w:p>
            <w:pPr>
              <w:pStyle w:val="220"/>
              <w:spacing w:before="100"/>
              <w:rPr>
                <w:rFonts w:eastAsiaTheme="minorEastAsia" w:cstheme="minorBidi"/>
                <w:szCs w:val="21"/>
              </w:rPr>
            </w:pPr>
            <w:r>
              <w:rPr>
                <w:rFonts w:hint="eastAsia" w:eastAsiaTheme="minorEastAsia" w:cstheme="minorBidi"/>
                <w:color w:val="000000"/>
                <w:szCs w:val="21"/>
              </w:rPr>
              <w:t>数学与应用数学</w:t>
            </w:r>
          </w:p>
        </w:tc>
        <w:tc>
          <w:tcPr>
            <w:tcW w:w="2247" w:type="dxa"/>
            <w:noWrap/>
            <w:vAlign w:val="center"/>
          </w:tcPr>
          <w:p>
            <w:pPr>
              <w:pStyle w:val="220"/>
              <w:spacing w:before="100"/>
              <w:rPr>
                <w:rFonts w:eastAsiaTheme="minorEastAsia" w:cstheme="minorBidi"/>
                <w:szCs w:val="21"/>
              </w:rPr>
            </w:pPr>
            <w:r>
              <w:rPr>
                <w:rFonts w:hint="eastAsia" w:eastAsiaTheme="minorEastAsia" w:cstheme="minorBidi"/>
                <w:color w:val="000000"/>
                <w:szCs w:val="21"/>
              </w:rPr>
              <w:t>78</w:t>
            </w:r>
          </w:p>
        </w:tc>
        <w:tc>
          <w:tcPr>
            <w:tcW w:w="2393" w:type="dxa"/>
            <w:noWrap/>
            <w:vAlign w:val="center"/>
          </w:tcPr>
          <w:p>
            <w:pPr>
              <w:pStyle w:val="220"/>
              <w:spacing w:before="100"/>
              <w:rPr>
                <w:rFonts w:eastAsiaTheme="minorEastAsia" w:cstheme="minorBidi"/>
                <w:szCs w:val="21"/>
              </w:rPr>
            </w:pPr>
            <w:r>
              <w:rPr>
                <w:rFonts w:hint="eastAsia" w:eastAsiaTheme="minorEastAsia" w:cstheme="minorBidi"/>
                <w:color w:val="000000"/>
                <w:szCs w:val="21"/>
              </w:rPr>
              <w:t>1.53%</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continue"/>
            <w:shd w:val="clear" w:color="auto" w:fill="4472C4" w:themeFill="accent1"/>
            <w:vAlign w:val="center"/>
          </w:tcPr>
          <w:p>
            <w:pPr>
              <w:pStyle w:val="220"/>
              <w:spacing w:before="100"/>
              <w:rPr>
                <w:rFonts w:eastAsiaTheme="minorEastAsia" w:cstheme="minorBidi"/>
                <w:b w:val="0"/>
                <w:bCs/>
              </w:rPr>
            </w:pPr>
          </w:p>
        </w:tc>
        <w:tc>
          <w:tcPr>
            <w:tcW w:w="2539" w:type="dxa"/>
            <w:shd w:val="clear" w:color="auto" w:fill="D9E2F3" w:themeFill="accent1" w:themeFillTint="33"/>
            <w:noWrap/>
            <w:vAlign w:val="center"/>
          </w:tcPr>
          <w:p>
            <w:pPr>
              <w:pStyle w:val="220"/>
              <w:spacing w:before="100"/>
              <w:rPr>
                <w:rFonts w:eastAsiaTheme="minorEastAsia" w:cstheme="minorBidi"/>
                <w:szCs w:val="21"/>
              </w:rPr>
            </w:pPr>
            <w:r>
              <w:rPr>
                <w:rFonts w:hint="eastAsia" w:eastAsiaTheme="minorEastAsia" w:cstheme="minorBidi"/>
                <w:color w:val="000000"/>
                <w:szCs w:val="21"/>
              </w:rPr>
              <w:t>经济统计学</w:t>
            </w:r>
          </w:p>
        </w:tc>
        <w:tc>
          <w:tcPr>
            <w:tcW w:w="2247" w:type="dxa"/>
            <w:shd w:val="clear" w:color="auto" w:fill="D9E2F3" w:themeFill="accent1" w:themeFillTint="33"/>
            <w:noWrap/>
            <w:vAlign w:val="center"/>
          </w:tcPr>
          <w:p>
            <w:pPr>
              <w:pStyle w:val="220"/>
              <w:spacing w:before="100"/>
              <w:rPr>
                <w:rFonts w:eastAsiaTheme="minorEastAsia" w:cstheme="minorBidi"/>
                <w:szCs w:val="21"/>
              </w:rPr>
            </w:pPr>
            <w:r>
              <w:rPr>
                <w:rFonts w:hint="eastAsia" w:eastAsiaTheme="minorEastAsia" w:cstheme="minorBidi"/>
                <w:color w:val="000000"/>
                <w:szCs w:val="21"/>
              </w:rPr>
              <w:t>49</w:t>
            </w:r>
          </w:p>
        </w:tc>
        <w:tc>
          <w:tcPr>
            <w:tcW w:w="2393" w:type="dxa"/>
            <w:shd w:val="clear" w:color="auto" w:fill="D9E2F3" w:themeFill="accent1" w:themeFillTint="33"/>
            <w:noWrap/>
            <w:vAlign w:val="center"/>
          </w:tcPr>
          <w:p>
            <w:pPr>
              <w:pStyle w:val="220"/>
              <w:spacing w:before="100"/>
              <w:rPr>
                <w:rFonts w:eastAsiaTheme="minorEastAsia" w:cstheme="minorBidi"/>
                <w:szCs w:val="21"/>
              </w:rPr>
            </w:pPr>
            <w:r>
              <w:rPr>
                <w:rFonts w:hint="eastAsia" w:eastAsiaTheme="minorEastAsia" w:cstheme="minorBidi"/>
                <w:color w:val="000000"/>
                <w:szCs w:val="21"/>
              </w:rPr>
              <w:t>0.96%</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continue"/>
            <w:shd w:val="clear" w:color="auto" w:fill="4472C4" w:themeFill="accent1"/>
            <w:vAlign w:val="center"/>
          </w:tcPr>
          <w:p>
            <w:pPr>
              <w:pStyle w:val="220"/>
              <w:spacing w:before="100"/>
              <w:rPr>
                <w:rFonts w:eastAsiaTheme="minorEastAsia" w:cstheme="minorBidi"/>
                <w:b w:val="0"/>
                <w:bCs/>
              </w:rPr>
            </w:pPr>
          </w:p>
        </w:tc>
        <w:tc>
          <w:tcPr>
            <w:tcW w:w="2539" w:type="dxa"/>
            <w:noWrap/>
            <w:vAlign w:val="center"/>
          </w:tcPr>
          <w:p>
            <w:pPr>
              <w:pStyle w:val="220"/>
              <w:spacing w:before="100"/>
              <w:rPr>
                <w:rFonts w:eastAsiaTheme="minorEastAsia" w:cstheme="minorBidi"/>
                <w:b/>
                <w:bCs/>
                <w:szCs w:val="21"/>
              </w:rPr>
            </w:pPr>
            <w:r>
              <w:rPr>
                <w:rFonts w:hint="eastAsia" w:eastAsiaTheme="minorEastAsia" w:cstheme="minorBidi"/>
                <w:b/>
                <w:bCs/>
                <w:color w:val="000000"/>
                <w:szCs w:val="21"/>
              </w:rPr>
              <w:t>小计</w:t>
            </w:r>
          </w:p>
        </w:tc>
        <w:tc>
          <w:tcPr>
            <w:tcW w:w="2247" w:type="dxa"/>
            <w:noWrap/>
            <w:vAlign w:val="center"/>
          </w:tcPr>
          <w:p>
            <w:pPr>
              <w:pStyle w:val="220"/>
              <w:spacing w:before="100"/>
              <w:rPr>
                <w:rFonts w:eastAsiaTheme="minorEastAsia" w:cstheme="minorBidi"/>
                <w:b/>
                <w:bCs/>
                <w:szCs w:val="21"/>
              </w:rPr>
            </w:pPr>
            <w:r>
              <w:rPr>
                <w:rFonts w:hint="eastAsia" w:eastAsiaTheme="minorEastAsia" w:cstheme="minorBidi"/>
                <w:b/>
                <w:bCs/>
                <w:color w:val="000000"/>
                <w:szCs w:val="21"/>
              </w:rPr>
              <w:t>369</w:t>
            </w:r>
          </w:p>
        </w:tc>
        <w:tc>
          <w:tcPr>
            <w:tcW w:w="2393" w:type="dxa"/>
            <w:noWrap/>
            <w:vAlign w:val="center"/>
          </w:tcPr>
          <w:p>
            <w:pPr>
              <w:pStyle w:val="220"/>
              <w:spacing w:before="100"/>
              <w:rPr>
                <w:rFonts w:eastAsiaTheme="minorEastAsia" w:cstheme="minorBidi"/>
                <w:b/>
                <w:bCs/>
                <w:szCs w:val="21"/>
              </w:rPr>
            </w:pPr>
            <w:r>
              <w:rPr>
                <w:rFonts w:hint="eastAsia" w:eastAsiaTheme="minorEastAsia" w:cstheme="minorBidi"/>
                <w:b/>
                <w:bCs/>
                <w:color w:val="000000"/>
                <w:szCs w:val="21"/>
              </w:rPr>
              <w:t>7.22%</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restart"/>
            <w:shd w:val="clear" w:color="auto" w:fill="4472C4" w:themeFill="accent1"/>
            <w:vAlign w:val="center"/>
          </w:tcPr>
          <w:p>
            <w:pPr>
              <w:pStyle w:val="220"/>
              <w:spacing w:before="100"/>
              <w:rPr>
                <w:rFonts w:eastAsiaTheme="minorEastAsia" w:cstheme="minorBidi"/>
                <w:b/>
                <w:bCs w:val="0"/>
              </w:rPr>
            </w:pPr>
            <w:r>
              <w:rPr>
                <w:rFonts w:hint="eastAsia" w:eastAsiaTheme="minorEastAsia" w:cstheme="minorBidi"/>
                <w:b/>
                <w:bCs w:val="0"/>
                <w:color w:val="FFFFFF" w:themeColor="background1"/>
                <w14:textFill>
                  <w14:solidFill>
                    <w14:schemeClr w14:val="bg1"/>
                  </w14:solidFill>
                </w14:textFill>
              </w:rPr>
              <w:t>电气与光电工程学院</w:t>
            </w:r>
          </w:p>
        </w:tc>
        <w:tc>
          <w:tcPr>
            <w:tcW w:w="2539" w:type="dxa"/>
            <w:shd w:val="clear" w:color="auto" w:fill="D9E2F3" w:themeFill="accent1" w:themeFillTint="33"/>
            <w:noWrap/>
            <w:vAlign w:val="top"/>
          </w:tcPr>
          <w:p>
            <w:pPr>
              <w:pStyle w:val="220"/>
              <w:spacing w:before="100"/>
              <w:rPr>
                <w:rFonts w:eastAsiaTheme="minorEastAsia" w:cstheme="minorBidi"/>
                <w:color w:val="000000"/>
                <w:szCs w:val="21"/>
              </w:rPr>
            </w:pPr>
            <w:r>
              <w:rPr>
                <w:rFonts w:hint="eastAsia" w:eastAsiaTheme="minorEastAsia" w:cstheme="minorBidi"/>
                <w:color w:val="000000"/>
                <w:szCs w:val="21"/>
              </w:rPr>
              <w:t>电气工程及其自动化</w:t>
            </w:r>
          </w:p>
        </w:tc>
        <w:tc>
          <w:tcPr>
            <w:tcW w:w="2247" w:type="dxa"/>
            <w:shd w:val="clear" w:color="auto" w:fill="D9E2F3" w:themeFill="accent1" w:themeFillTint="33"/>
            <w:noWrap/>
            <w:vAlign w:val="bottom"/>
          </w:tcPr>
          <w:p>
            <w:pPr>
              <w:pStyle w:val="220"/>
              <w:spacing w:before="100"/>
              <w:rPr>
                <w:rFonts w:eastAsiaTheme="minorEastAsia" w:cstheme="minorBidi"/>
                <w:color w:val="000000"/>
                <w:szCs w:val="21"/>
              </w:rPr>
            </w:pPr>
            <w:r>
              <w:rPr>
                <w:rFonts w:hint="eastAsia" w:eastAsiaTheme="minorEastAsia" w:cstheme="minorBidi"/>
                <w:color w:val="000000"/>
                <w:szCs w:val="21"/>
              </w:rPr>
              <w:t>187</w:t>
            </w:r>
          </w:p>
        </w:tc>
        <w:tc>
          <w:tcPr>
            <w:tcW w:w="2393" w:type="dxa"/>
            <w:shd w:val="clear" w:color="auto" w:fill="D9E2F3" w:themeFill="accent1" w:themeFillTint="33"/>
            <w:noWrap/>
            <w:vAlign w:val="bottom"/>
          </w:tcPr>
          <w:p>
            <w:pPr>
              <w:pStyle w:val="220"/>
              <w:spacing w:before="100"/>
              <w:rPr>
                <w:rFonts w:eastAsiaTheme="minorEastAsia" w:cstheme="minorBidi"/>
                <w:color w:val="000000"/>
                <w:szCs w:val="21"/>
              </w:rPr>
            </w:pPr>
            <w:r>
              <w:rPr>
                <w:rFonts w:hint="eastAsia" w:eastAsiaTheme="minorEastAsia" w:cstheme="minorBidi"/>
                <w:color w:val="000000"/>
                <w:szCs w:val="21"/>
              </w:rPr>
              <w:t>3.66%</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continue"/>
            <w:shd w:val="clear" w:color="auto" w:fill="4472C4" w:themeFill="accent1"/>
            <w:vAlign w:val="center"/>
          </w:tcPr>
          <w:p>
            <w:pPr>
              <w:pStyle w:val="220"/>
              <w:spacing w:before="100"/>
              <w:rPr>
                <w:rFonts w:eastAsiaTheme="minorEastAsia" w:cstheme="minorBidi"/>
                <w:b w:val="0"/>
                <w:bCs/>
              </w:rPr>
            </w:pPr>
          </w:p>
        </w:tc>
        <w:tc>
          <w:tcPr>
            <w:tcW w:w="2539" w:type="dxa"/>
            <w:noWrap/>
            <w:vAlign w:val="top"/>
          </w:tcPr>
          <w:p>
            <w:pPr>
              <w:pStyle w:val="220"/>
              <w:spacing w:before="100"/>
              <w:rPr>
                <w:rFonts w:eastAsiaTheme="minorEastAsia" w:cstheme="minorBidi"/>
                <w:color w:val="000000"/>
                <w:szCs w:val="21"/>
              </w:rPr>
            </w:pPr>
            <w:r>
              <w:rPr>
                <w:rFonts w:hint="eastAsia" w:eastAsiaTheme="minorEastAsia" w:cstheme="minorBidi"/>
                <w:color w:val="000000"/>
                <w:szCs w:val="21"/>
              </w:rPr>
              <w:t>建筑电气与智能化</w:t>
            </w:r>
          </w:p>
        </w:tc>
        <w:tc>
          <w:tcPr>
            <w:tcW w:w="2247" w:type="dxa"/>
            <w:noWrap/>
            <w:vAlign w:val="bottom"/>
          </w:tcPr>
          <w:p>
            <w:pPr>
              <w:pStyle w:val="220"/>
              <w:spacing w:before="100"/>
              <w:rPr>
                <w:rFonts w:eastAsiaTheme="minorEastAsia" w:cstheme="minorBidi"/>
                <w:color w:val="000000"/>
                <w:szCs w:val="21"/>
              </w:rPr>
            </w:pPr>
            <w:r>
              <w:rPr>
                <w:rFonts w:hint="eastAsia" w:eastAsiaTheme="minorEastAsia" w:cstheme="minorBidi"/>
                <w:color w:val="000000"/>
                <w:szCs w:val="21"/>
              </w:rPr>
              <w:t>60</w:t>
            </w:r>
          </w:p>
        </w:tc>
        <w:tc>
          <w:tcPr>
            <w:tcW w:w="2393" w:type="dxa"/>
            <w:noWrap/>
            <w:vAlign w:val="bottom"/>
          </w:tcPr>
          <w:p>
            <w:pPr>
              <w:pStyle w:val="220"/>
              <w:spacing w:before="100"/>
              <w:rPr>
                <w:rFonts w:eastAsiaTheme="minorEastAsia" w:cstheme="minorBidi"/>
                <w:color w:val="000000"/>
                <w:szCs w:val="21"/>
              </w:rPr>
            </w:pPr>
            <w:r>
              <w:rPr>
                <w:rFonts w:hint="eastAsia" w:eastAsiaTheme="minorEastAsia" w:cstheme="minorBidi"/>
                <w:color w:val="000000"/>
                <w:szCs w:val="21"/>
              </w:rPr>
              <w:t>1.17%</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continue"/>
            <w:shd w:val="clear" w:color="auto" w:fill="4472C4" w:themeFill="accent1"/>
            <w:vAlign w:val="center"/>
          </w:tcPr>
          <w:p>
            <w:pPr>
              <w:pStyle w:val="220"/>
              <w:spacing w:before="100"/>
              <w:rPr>
                <w:rFonts w:eastAsiaTheme="minorEastAsia" w:cstheme="minorBidi"/>
                <w:b w:val="0"/>
                <w:bCs/>
              </w:rPr>
            </w:pPr>
          </w:p>
        </w:tc>
        <w:tc>
          <w:tcPr>
            <w:tcW w:w="2539" w:type="dxa"/>
            <w:shd w:val="clear" w:color="auto" w:fill="D9E2F3" w:themeFill="accent1" w:themeFillTint="33"/>
            <w:noWrap/>
            <w:vAlign w:val="top"/>
          </w:tcPr>
          <w:p>
            <w:pPr>
              <w:pStyle w:val="220"/>
              <w:spacing w:before="100"/>
              <w:rPr>
                <w:rFonts w:eastAsiaTheme="minorEastAsia" w:cstheme="minorBidi"/>
                <w:color w:val="000000"/>
                <w:szCs w:val="21"/>
              </w:rPr>
            </w:pPr>
            <w:r>
              <w:rPr>
                <w:rFonts w:hint="eastAsia" w:eastAsiaTheme="minorEastAsia" w:cstheme="minorBidi"/>
                <w:color w:val="000000"/>
                <w:szCs w:val="21"/>
              </w:rPr>
              <w:t>光源与照明</w:t>
            </w:r>
          </w:p>
        </w:tc>
        <w:tc>
          <w:tcPr>
            <w:tcW w:w="2247" w:type="dxa"/>
            <w:shd w:val="clear" w:color="auto" w:fill="D9E2F3" w:themeFill="accent1" w:themeFillTint="33"/>
            <w:noWrap/>
            <w:vAlign w:val="bottom"/>
          </w:tcPr>
          <w:p>
            <w:pPr>
              <w:pStyle w:val="220"/>
              <w:spacing w:before="100"/>
              <w:rPr>
                <w:rFonts w:eastAsiaTheme="minorEastAsia" w:cstheme="minorBidi"/>
                <w:color w:val="000000"/>
                <w:szCs w:val="21"/>
              </w:rPr>
            </w:pPr>
            <w:r>
              <w:rPr>
                <w:rFonts w:hint="eastAsia" w:eastAsiaTheme="minorEastAsia" w:cstheme="minorBidi"/>
                <w:color w:val="000000"/>
                <w:szCs w:val="21"/>
              </w:rPr>
              <w:t>58</w:t>
            </w:r>
          </w:p>
        </w:tc>
        <w:tc>
          <w:tcPr>
            <w:tcW w:w="2393" w:type="dxa"/>
            <w:shd w:val="clear" w:color="auto" w:fill="D9E2F3" w:themeFill="accent1" w:themeFillTint="33"/>
            <w:noWrap/>
            <w:vAlign w:val="bottom"/>
          </w:tcPr>
          <w:p>
            <w:pPr>
              <w:pStyle w:val="220"/>
              <w:spacing w:before="100"/>
              <w:rPr>
                <w:rFonts w:eastAsiaTheme="minorEastAsia" w:cstheme="minorBidi"/>
                <w:color w:val="000000"/>
                <w:szCs w:val="21"/>
              </w:rPr>
            </w:pPr>
            <w:r>
              <w:rPr>
                <w:rFonts w:hint="eastAsia" w:eastAsiaTheme="minorEastAsia" w:cstheme="minorBidi"/>
                <w:color w:val="000000"/>
                <w:szCs w:val="21"/>
              </w:rPr>
              <w:t>1.13%</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continue"/>
            <w:shd w:val="clear" w:color="auto" w:fill="4472C4" w:themeFill="accent1"/>
            <w:vAlign w:val="center"/>
          </w:tcPr>
          <w:p>
            <w:pPr>
              <w:pStyle w:val="220"/>
              <w:spacing w:before="100"/>
              <w:rPr>
                <w:rFonts w:eastAsiaTheme="minorEastAsia" w:cstheme="minorBidi"/>
                <w:b w:val="0"/>
                <w:bCs/>
              </w:rPr>
            </w:pPr>
          </w:p>
        </w:tc>
        <w:tc>
          <w:tcPr>
            <w:tcW w:w="2539" w:type="dxa"/>
            <w:noWrap/>
            <w:vAlign w:val="top"/>
          </w:tcPr>
          <w:p>
            <w:pPr>
              <w:pStyle w:val="220"/>
              <w:spacing w:before="100"/>
              <w:rPr>
                <w:rFonts w:eastAsiaTheme="minorEastAsia" w:cstheme="minorBidi"/>
                <w:color w:val="000000"/>
                <w:szCs w:val="21"/>
              </w:rPr>
            </w:pPr>
            <w:r>
              <w:rPr>
                <w:rFonts w:hint="eastAsia" w:eastAsiaTheme="minorEastAsia" w:cstheme="minorBidi"/>
                <w:color w:val="000000"/>
                <w:szCs w:val="21"/>
              </w:rPr>
              <w:t>光电信息科学与工程</w:t>
            </w:r>
          </w:p>
        </w:tc>
        <w:tc>
          <w:tcPr>
            <w:tcW w:w="2247" w:type="dxa"/>
            <w:noWrap/>
            <w:vAlign w:val="bottom"/>
          </w:tcPr>
          <w:p>
            <w:pPr>
              <w:pStyle w:val="220"/>
              <w:spacing w:before="100"/>
              <w:rPr>
                <w:rFonts w:eastAsiaTheme="minorEastAsia" w:cstheme="minorBidi"/>
                <w:color w:val="000000"/>
                <w:szCs w:val="21"/>
              </w:rPr>
            </w:pPr>
            <w:r>
              <w:rPr>
                <w:rFonts w:hint="eastAsia" w:eastAsiaTheme="minorEastAsia" w:cstheme="minorBidi"/>
                <w:color w:val="000000"/>
                <w:szCs w:val="21"/>
              </w:rPr>
              <w:t>46</w:t>
            </w:r>
          </w:p>
        </w:tc>
        <w:tc>
          <w:tcPr>
            <w:tcW w:w="2393" w:type="dxa"/>
            <w:noWrap/>
            <w:vAlign w:val="bottom"/>
          </w:tcPr>
          <w:p>
            <w:pPr>
              <w:pStyle w:val="220"/>
              <w:spacing w:before="100"/>
              <w:rPr>
                <w:rFonts w:eastAsiaTheme="minorEastAsia" w:cstheme="minorBidi"/>
                <w:color w:val="000000"/>
                <w:szCs w:val="21"/>
              </w:rPr>
            </w:pPr>
            <w:r>
              <w:rPr>
                <w:rFonts w:hint="eastAsia" w:eastAsiaTheme="minorEastAsia" w:cstheme="minorBidi"/>
                <w:color w:val="000000"/>
                <w:szCs w:val="21"/>
              </w:rPr>
              <w:t>0.90%</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continue"/>
            <w:shd w:val="clear" w:color="auto" w:fill="4472C4" w:themeFill="accent1"/>
            <w:vAlign w:val="center"/>
          </w:tcPr>
          <w:p>
            <w:pPr>
              <w:pStyle w:val="220"/>
              <w:spacing w:before="100"/>
              <w:rPr>
                <w:rFonts w:eastAsiaTheme="minorEastAsia" w:cstheme="minorBidi"/>
                <w:b w:val="0"/>
                <w:bCs/>
              </w:rPr>
            </w:pPr>
          </w:p>
        </w:tc>
        <w:tc>
          <w:tcPr>
            <w:tcW w:w="2539" w:type="dxa"/>
            <w:shd w:val="clear" w:color="auto" w:fill="D9E2F3" w:themeFill="accent1" w:themeFillTint="33"/>
            <w:noWrap/>
            <w:vAlign w:val="top"/>
          </w:tcPr>
          <w:p>
            <w:pPr>
              <w:pStyle w:val="220"/>
              <w:spacing w:before="100"/>
              <w:rPr>
                <w:rFonts w:eastAsiaTheme="minorEastAsia" w:cstheme="minorBidi"/>
                <w:b/>
                <w:bCs/>
                <w:color w:val="000000"/>
                <w:szCs w:val="21"/>
              </w:rPr>
            </w:pPr>
            <w:r>
              <w:rPr>
                <w:rFonts w:hint="eastAsia" w:eastAsiaTheme="minorEastAsia" w:cstheme="minorBidi"/>
                <w:b/>
                <w:bCs/>
                <w:color w:val="000000"/>
                <w:szCs w:val="21"/>
              </w:rPr>
              <w:t>小计</w:t>
            </w:r>
          </w:p>
        </w:tc>
        <w:tc>
          <w:tcPr>
            <w:tcW w:w="2247" w:type="dxa"/>
            <w:shd w:val="clear" w:color="auto" w:fill="D9E2F3" w:themeFill="accent1" w:themeFillTint="33"/>
            <w:noWrap/>
            <w:vAlign w:val="bottom"/>
          </w:tcPr>
          <w:p>
            <w:pPr>
              <w:pStyle w:val="220"/>
              <w:spacing w:before="100"/>
              <w:rPr>
                <w:rFonts w:eastAsiaTheme="minorEastAsia" w:cstheme="minorBidi"/>
                <w:b/>
                <w:bCs/>
                <w:color w:val="000000"/>
                <w:szCs w:val="21"/>
              </w:rPr>
            </w:pPr>
            <w:r>
              <w:rPr>
                <w:rFonts w:hint="eastAsia" w:eastAsiaTheme="minorEastAsia" w:cstheme="minorBidi"/>
                <w:b/>
                <w:bCs/>
                <w:color w:val="000000"/>
                <w:szCs w:val="21"/>
              </w:rPr>
              <w:t>351</w:t>
            </w:r>
          </w:p>
        </w:tc>
        <w:tc>
          <w:tcPr>
            <w:tcW w:w="2393" w:type="dxa"/>
            <w:shd w:val="clear" w:color="auto" w:fill="D9E2F3" w:themeFill="accent1" w:themeFillTint="33"/>
            <w:noWrap/>
            <w:vAlign w:val="bottom"/>
          </w:tcPr>
          <w:p>
            <w:pPr>
              <w:pStyle w:val="220"/>
              <w:spacing w:before="100"/>
              <w:rPr>
                <w:rFonts w:eastAsiaTheme="minorEastAsia" w:cstheme="minorBidi"/>
                <w:b/>
                <w:bCs/>
                <w:color w:val="000000"/>
                <w:szCs w:val="21"/>
              </w:rPr>
            </w:pPr>
            <w:r>
              <w:rPr>
                <w:rFonts w:hint="eastAsia" w:eastAsiaTheme="minorEastAsia" w:cstheme="minorBidi"/>
                <w:b/>
                <w:bCs/>
                <w:color w:val="000000"/>
                <w:szCs w:val="21"/>
              </w:rPr>
              <w:t>6.87%</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restart"/>
            <w:shd w:val="clear" w:color="auto" w:fill="4472C4" w:themeFill="accent1"/>
            <w:vAlign w:val="center"/>
          </w:tcPr>
          <w:p>
            <w:pPr>
              <w:pStyle w:val="220"/>
              <w:spacing w:before="100"/>
              <w:rPr>
                <w:rFonts w:eastAsiaTheme="minorEastAsia" w:cstheme="minorBidi"/>
                <w:b/>
                <w:bCs w:val="0"/>
              </w:rPr>
            </w:pPr>
            <w:r>
              <w:rPr>
                <w:rFonts w:hint="eastAsia" w:eastAsiaTheme="minorEastAsia" w:cstheme="minorBidi"/>
                <w:b/>
                <w:bCs w:val="0"/>
                <w:color w:val="FFFFFF" w:themeColor="background1"/>
                <w14:textFill>
                  <w14:solidFill>
                    <w14:schemeClr w14:val="bg1"/>
                  </w14:solidFill>
                </w14:textFill>
              </w:rPr>
              <w:t>环境与旅游学院</w:t>
            </w:r>
          </w:p>
        </w:tc>
        <w:tc>
          <w:tcPr>
            <w:tcW w:w="2539" w:type="dxa"/>
            <w:noWrap/>
            <w:vAlign w:val="top"/>
          </w:tcPr>
          <w:p>
            <w:pPr>
              <w:pStyle w:val="220"/>
              <w:spacing w:before="100"/>
              <w:rPr>
                <w:rFonts w:eastAsiaTheme="minorEastAsia" w:cstheme="minorBidi"/>
                <w:color w:val="000000"/>
                <w:szCs w:val="21"/>
              </w:rPr>
            </w:pPr>
            <w:r>
              <w:rPr>
                <w:rFonts w:hint="eastAsia" w:eastAsiaTheme="minorEastAsia" w:cstheme="minorBidi"/>
                <w:color w:val="000000"/>
                <w:szCs w:val="21"/>
              </w:rPr>
              <w:t>旅游管理</w:t>
            </w:r>
          </w:p>
        </w:tc>
        <w:tc>
          <w:tcPr>
            <w:tcW w:w="2247" w:type="dxa"/>
            <w:noWrap/>
            <w:vAlign w:val="bottom"/>
          </w:tcPr>
          <w:p>
            <w:pPr>
              <w:pStyle w:val="220"/>
              <w:spacing w:before="100"/>
              <w:rPr>
                <w:rFonts w:eastAsiaTheme="minorEastAsia" w:cstheme="minorBidi"/>
                <w:color w:val="000000"/>
                <w:szCs w:val="21"/>
              </w:rPr>
            </w:pPr>
            <w:r>
              <w:rPr>
                <w:rFonts w:hint="eastAsia" w:eastAsiaTheme="minorEastAsia" w:cstheme="minorBidi"/>
                <w:color w:val="000000"/>
                <w:szCs w:val="21"/>
              </w:rPr>
              <w:t>136</w:t>
            </w:r>
          </w:p>
        </w:tc>
        <w:tc>
          <w:tcPr>
            <w:tcW w:w="2393" w:type="dxa"/>
            <w:noWrap/>
            <w:vAlign w:val="bottom"/>
          </w:tcPr>
          <w:p>
            <w:pPr>
              <w:pStyle w:val="220"/>
              <w:spacing w:before="100"/>
              <w:rPr>
                <w:rFonts w:eastAsiaTheme="minorEastAsia" w:cstheme="minorBidi"/>
                <w:color w:val="000000"/>
                <w:szCs w:val="21"/>
              </w:rPr>
            </w:pPr>
            <w:r>
              <w:rPr>
                <w:rFonts w:hint="eastAsia" w:eastAsiaTheme="minorEastAsia" w:cstheme="minorBidi"/>
                <w:color w:val="000000"/>
                <w:szCs w:val="21"/>
              </w:rPr>
              <w:t>2.66%</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continue"/>
            <w:shd w:val="clear" w:color="auto" w:fill="4472C4" w:themeFill="accent1"/>
            <w:vAlign w:val="center"/>
          </w:tcPr>
          <w:p>
            <w:pPr>
              <w:pStyle w:val="220"/>
              <w:spacing w:before="100"/>
              <w:rPr>
                <w:rFonts w:eastAsiaTheme="minorEastAsia" w:cstheme="minorBidi"/>
                <w:b w:val="0"/>
                <w:bCs/>
              </w:rPr>
            </w:pPr>
          </w:p>
        </w:tc>
        <w:tc>
          <w:tcPr>
            <w:tcW w:w="2539" w:type="dxa"/>
            <w:shd w:val="clear" w:color="auto" w:fill="D9E2F3" w:themeFill="accent1" w:themeFillTint="33"/>
            <w:noWrap/>
            <w:vAlign w:val="top"/>
          </w:tcPr>
          <w:p>
            <w:pPr>
              <w:pStyle w:val="220"/>
              <w:spacing w:before="100"/>
              <w:rPr>
                <w:rFonts w:eastAsiaTheme="minorEastAsia" w:cstheme="minorBidi"/>
                <w:color w:val="000000"/>
                <w:szCs w:val="21"/>
              </w:rPr>
            </w:pPr>
            <w:r>
              <w:rPr>
                <w:rFonts w:hint="eastAsia" w:eastAsiaTheme="minorEastAsia" w:cstheme="minorBidi"/>
                <w:color w:val="000000"/>
                <w:szCs w:val="21"/>
              </w:rPr>
              <w:t>地理科学</w:t>
            </w:r>
          </w:p>
        </w:tc>
        <w:tc>
          <w:tcPr>
            <w:tcW w:w="2247" w:type="dxa"/>
            <w:shd w:val="clear" w:color="auto" w:fill="D9E2F3" w:themeFill="accent1" w:themeFillTint="33"/>
            <w:noWrap/>
            <w:vAlign w:val="bottom"/>
          </w:tcPr>
          <w:p>
            <w:pPr>
              <w:pStyle w:val="220"/>
              <w:spacing w:before="100"/>
              <w:rPr>
                <w:rFonts w:eastAsiaTheme="minorEastAsia" w:cstheme="minorBidi"/>
                <w:color w:val="000000"/>
                <w:szCs w:val="21"/>
              </w:rPr>
            </w:pPr>
            <w:r>
              <w:rPr>
                <w:rFonts w:hint="eastAsia" w:eastAsiaTheme="minorEastAsia" w:cstheme="minorBidi"/>
                <w:color w:val="000000"/>
                <w:szCs w:val="21"/>
              </w:rPr>
              <w:t>71</w:t>
            </w:r>
          </w:p>
        </w:tc>
        <w:tc>
          <w:tcPr>
            <w:tcW w:w="2393" w:type="dxa"/>
            <w:shd w:val="clear" w:color="auto" w:fill="D9E2F3" w:themeFill="accent1" w:themeFillTint="33"/>
            <w:noWrap/>
            <w:vAlign w:val="bottom"/>
          </w:tcPr>
          <w:p>
            <w:pPr>
              <w:pStyle w:val="220"/>
              <w:spacing w:before="100"/>
              <w:rPr>
                <w:rFonts w:eastAsiaTheme="minorEastAsia" w:cstheme="minorBidi"/>
                <w:color w:val="000000"/>
                <w:szCs w:val="21"/>
              </w:rPr>
            </w:pPr>
            <w:r>
              <w:rPr>
                <w:rFonts w:hint="eastAsia" w:eastAsiaTheme="minorEastAsia" w:cstheme="minorBidi"/>
                <w:color w:val="000000"/>
                <w:szCs w:val="21"/>
              </w:rPr>
              <w:t>1.39%</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continue"/>
            <w:shd w:val="clear" w:color="auto" w:fill="4472C4" w:themeFill="accent1"/>
            <w:vAlign w:val="center"/>
          </w:tcPr>
          <w:p>
            <w:pPr>
              <w:pStyle w:val="220"/>
              <w:spacing w:before="100"/>
              <w:rPr>
                <w:rFonts w:eastAsiaTheme="minorEastAsia" w:cstheme="minorBidi"/>
                <w:b w:val="0"/>
                <w:bCs/>
              </w:rPr>
            </w:pPr>
          </w:p>
        </w:tc>
        <w:tc>
          <w:tcPr>
            <w:tcW w:w="2539" w:type="dxa"/>
            <w:noWrap/>
            <w:vAlign w:val="top"/>
          </w:tcPr>
          <w:p>
            <w:pPr>
              <w:pStyle w:val="220"/>
              <w:spacing w:before="100"/>
              <w:rPr>
                <w:rFonts w:eastAsiaTheme="minorEastAsia" w:cstheme="minorBidi"/>
                <w:color w:val="000000"/>
                <w:szCs w:val="21"/>
              </w:rPr>
            </w:pPr>
            <w:r>
              <w:rPr>
                <w:rFonts w:hint="eastAsia" w:eastAsiaTheme="minorEastAsia" w:cstheme="minorBidi"/>
                <w:color w:val="000000"/>
                <w:szCs w:val="21"/>
              </w:rPr>
              <w:t>园林</w:t>
            </w:r>
          </w:p>
        </w:tc>
        <w:tc>
          <w:tcPr>
            <w:tcW w:w="2247" w:type="dxa"/>
            <w:noWrap/>
            <w:vAlign w:val="bottom"/>
          </w:tcPr>
          <w:p>
            <w:pPr>
              <w:pStyle w:val="220"/>
              <w:spacing w:before="100"/>
              <w:rPr>
                <w:rFonts w:eastAsiaTheme="minorEastAsia" w:cstheme="minorBidi"/>
                <w:color w:val="000000"/>
                <w:szCs w:val="21"/>
              </w:rPr>
            </w:pPr>
            <w:r>
              <w:rPr>
                <w:rFonts w:hint="eastAsia" w:eastAsiaTheme="minorEastAsia" w:cstheme="minorBidi"/>
                <w:color w:val="000000"/>
                <w:szCs w:val="21"/>
              </w:rPr>
              <w:t>69</w:t>
            </w:r>
          </w:p>
        </w:tc>
        <w:tc>
          <w:tcPr>
            <w:tcW w:w="2393" w:type="dxa"/>
            <w:noWrap/>
            <w:vAlign w:val="bottom"/>
          </w:tcPr>
          <w:p>
            <w:pPr>
              <w:pStyle w:val="220"/>
              <w:spacing w:before="100"/>
              <w:rPr>
                <w:rFonts w:eastAsiaTheme="minorEastAsia" w:cstheme="minorBidi"/>
                <w:color w:val="000000"/>
                <w:szCs w:val="21"/>
              </w:rPr>
            </w:pPr>
            <w:r>
              <w:rPr>
                <w:rFonts w:hint="eastAsia" w:eastAsiaTheme="minorEastAsia" w:cstheme="minorBidi"/>
                <w:color w:val="000000"/>
                <w:szCs w:val="21"/>
              </w:rPr>
              <w:t>1.35%</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continue"/>
            <w:shd w:val="clear" w:color="auto" w:fill="4472C4" w:themeFill="accent1"/>
            <w:vAlign w:val="center"/>
          </w:tcPr>
          <w:p>
            <w:pPr>
              <w:pStyle w:val="220"/>
              <w:spacing w:before="100"/>
              <w:rPr>
                <w:rFonts w:eastAsiaTheme="minorEastAsia" w:cstheme="minorBidi"/>
                <w:b w:val="0"/>
                <w:bCs/>
              </w:rPr>
            </w:pPr>
          </w:p>
        </w:tc>
        <w:tc>
          <w:tcPr>
            <w:tcW w:w="2539" w:type="dxa"/>
            <w:shd w:val="clear" w:color="auto" w:fill="D9E2F3" w:themeFill="accent1" w:themeFillTint="33"/>
            <w:noWrap/>
            <w:vAlign w:val="top"/>
          </w:tcPr>
          <w:p>
            <w:pPr>
              <w:pStyle w:val="220"/>
              <w:spacing w:before="100"/>
              <w:rPr>
                <w:rFonts w:eastAsiaTheme="minorEastAsia" w:cstheme="minorBidi"/>
                <w:b/>
                <w:bCs/>
                <w:color w:val="000000"/>
                <w:szCs w:val="21"/>
              </w:rPr>
            </w:pPr>
            <w:r>
              <w:rPr>
                <w:rFonts w:hint="eastAsia" w:eastAsiaTheme="minorEastAsia" w:cstheme="minorBidi"/>
                <w:b/>
                <w:bCs/>
                <w:color w:val="000000"/>
                <w:szCs w:val="21"/>
              </w:rPr>
              <w:t>小计</w:t>
            </w:r>
          </w:p>
        </w:tc>
        <w:tc>
          <w:tcPr>
            <w:tcW w:w="2247" w:type="dxa"/>
            <w:shd w:val="clear" w:color="auto" w:fill="D9E2F3" w:themeFill="accent1" w:themeFillTint="33"/>
            <w:noWrap/>
            <w:vAlign w:val="bottom"/>
          </w:tcPr>
          <w:p>
            <w:pPr>
              <w:pStyle w:val="220"/>
              <w:spacing w:before="100"/>
              <w:rPr>
                <w:rFonts w:eastAsiaTheme="minorEastAsia" w:cstheme="minorBidi"/>
                <w:b/>
                <w:bCs/>
                <w:color w:val="000000"/>
                <w:szCs w:val="21"/>
              </w:rPr>
            </w:pPr>
            <w:r>
              <w:rPr>
                <w:rFonts w:hint="eastAsia" w:eastAsiaTheme="minorEastAsia" w:cstheme="minorBidi"/>
                <w:b/>
                <w:bCs/>
                <w:color w:val="000000"/>
                <w:szCs w:val="21"/>
              </w:rPr>
              <w:t>276</w:t>
            </w:r>
          </w:p>
        </w:tc>
        <w:tc>
          <w:tcPr>
            <w:tcW w:w="2393" w:type="dxa"/>
            <w:shd w:val="clear" w:color="auto" w:fill="D9E2F3" w:themeFill="accent1" w:themeFillTint="33"/>
            <w:noWrap/>
            <w:vAlign w:val="bottom"/>
          </w:tcPr>
          <w:p>
            <w:pPr>
              <w:pStyle w:val="220"/>
              <w:spacing w:before="100"/>
              <w:rPr>
                <w:rFonts w:eastAsiaTheme="minorEastAsia" w:cstheme="minorBidi"/>
                <w:b/>
                <w:bCs/>
                <w:color w:val="000000"/>
                <w:szCs w:val="21"/>
              </w:rPr>
            </w:pPr>
            <w:r>
              <w:rPr>
                <w:rFonts w:hint="eastAsia" w:eastAsiaTheme="minorEastAsia" w:cstheme="minorBidi"/>
                <w:b/>
                <w:bCs/>
                <w:color w:val="000000"/>
                <w:szCs w:val="21"/>
              </w:rPr>
              <w:t>5.40%</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restart"/>
            <w:shd w:val="clear" w:color="auto" w:fill="4472C4" w:themeFill="accent1"/>
            <w:vAlign w:val="center"/>
          </w:tcPr>
          <w:p>
            <w:pPr>
              <w:pStyle w:val="220"/>
              <w:spacing w:before="100"/>
              <w:rPr>
                <w:rFonts w:eastAsiaTheme="minorEastAsia" w:cstheme="minorBidi"/>
                <w:b/>
                <w:bCs w:val="0"/>
              </w:rPr>
            </w:pPr>
            <w:r>
              <w:rPr>
                <w:rFonts w:hint="eastAsia" w:eastAsiaTheme="minorEastAsia" w:cstheme="minorBidi"/>
                <w:b/>
                <w:bCs w:val="0"/>
                <w:color w:val="FFFFFF" w:themeColor="background1"/>
                <w14:textFill>
                  <w14:solidFill>
                    <w14:schemeClr w14:val="bg1"/>
                  </w14:solidFill>
                </w14:textFill>
              </w:rPr>
              <w:t>材料与化工学院</w:t>
            </w:r>
          </w:p>
        </w:tc>
        <w:tc>
          <w:tcPr>
            <w:tcW w:w="2539" w:type="dxa"/>
            <w:noWrap/>
            <w:vAlign w:val="top"/>
          </w:tcPr>
          <w:p>
            <w:pPr>
              <w:pStyle w:val="220"/>
              <w:spacing w:before="100"/>
              <w:rPr>
                <w:rFonts w:eastAsiaTheme="minorEastAsia" w:cstheme="minorBidi"/>
                <w:color w:val="000000"/>
                <w:szCs w:val="21"/>
              </w:rPr>
            </w:pPr>
            <w:r>
              <w:rPr>
                <w:rFonts w:hint="eastAsia" w:eastAsiaTheme="minorEastAsia" w:cstheme="minorBidi"/>
                <w:color w:val="000000"/>
                <w:szCs w:val="21"/>
              </w:rPr>
              <w:t>化学工程与工艺</w:t>
            </w:r>
          </w:p>
        </w:tc>
        <w:tc>
          <w:tcPr>
            <w:tcW w:w="2247" w:type="dxa"/>
            <w:noWrap/>
            <w:vAlign w:val="bottom"/>
          </w:tcPr>
          <w:p>
            <w:pPr>
              <w:pStyle w:val="220"/>
              <w:spacing w:before="100"/>
              <w:rPr>
                <w:rFonts w:eastAsiaTheme="minorEastAsia" w:cstheme="minorBidi"/>
                <w:color w:val="000000"/>
                <w:szCs w:val="21"/>
              </w:rPr>
            </w:pPr>
            <w:r>
              <w:rPr>
                <w:rFonts w:hint="eastAsia" w:eastAsiaTheme="minorEastAsia" w:cstheme="minorBidi"/>
                <w:color w:val="000000"/>
                <w:szCs w:val="21"/>
              </w:rPr>
              <w:t>65</w:t>
            </w:r>
          </w:p>
        </w:tc>
        <w:tc>
          <w:tcPr>
            <w:tcW w:w="2393" w:type="dxa"/>
            <w:noWrap/>
            <w:vAlign w:val="bottom"/>
          </w:tcPr>
          <w:p>
            <w:pPr>
              <w:pStyle w:val="220"/>
              <w:spacing w:before="100"/>
              <w:rPr>
                <w:rFonts w:eastAsiaTheme="minorEastAsia" w:cstheme="minorBidi"/>
                <w:color w:val="000000"/>
                <w:szCs w:val="21"/>
              </w:rPr>
            </w:pPr>
            <w:r>
              <w:rPr>
                <w:rFonts w:hint="eastAsia" w:eastAsiaTheme="minorEastAsia" w:cstheme="minorBidi"/>
                <w:color w:val="000000"/>
                <w:szCs w:val="21"/>
              </w:rPr>
              <w:t>1.27%</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continue"/>
            <w:shd w:val="clear" w:color="auto" w:fill="4472C4" w:themeFill="accent1"/>
            <w:vAlign w:val="center"/>
          </w:tcPr>
          <w:p>
            <w:pPr>
              <w:pStyle w:val="220"/>
              <w:spacing w:before="100"/>
              <w:rPr>
                <w:rFonts w:eastAsiaTheme="minorEastAsia" w:cstheme="minorBidi"/>
                <w:b w:val="0"/>
                <w:bCs/>
              </w:rPr>
            </w:pPr>
          </w:p>
        </w:tc>
        <w:tc>
          <w:tcPr>
            <w:tcW w:w="2539" w:type="dxa"/>
            <w:shd w:val="clear" w:color="auto" w:fill="D9E2F3" w:themeFill="accent1" w:themeFillTint="33"/>
            <w:noWrap/>
            <w:vAlign w:val="top"/>
          </w:tcPr>
          <w:p>
            <w:pPr>
              <w:pStyle w:val="220"/>
              <w:spacing w:before="100"/>
              <w:rPr>
                <w:rFonts w:eastAsiaTheme="minorEastAsia" w:cstheme="minorBidi"/>
                <w:color w:val="000000"/>
                <w:szCs w:val="21"/>
              </w:rPr>
            </w:pPr>
            <w:r>
              <w:rPr>
                <w:rFonts w:hint="eastAsia" w:eastAsiaTheme="minorEastAsia" w:cstheme="minorBidi"/>
                <w:color w:val="000000"/>
                <w:szCs w:val="21"/>
              </w:rPr>
              <w:t>高分子材料与工程</w:t>
            </w:r>
          </w:p>
        </w:tc>
        <w:tc>
          <w:tcPr>
            <w:tcW w:w="2247" w:type="dxa"/>
            <w:shd w:val="clear" w:color="auto" w:fill="D9E2F3" w:themeFill="accent1" w:themeFillTint="33"/>
            <w:noWrap/>
            <w:vAlign w:val="bottom"/>
          </w:tcPr>
          <w:p>
            <w:pPr>
              <w:pStyle w:val="220"/>
              <w:spacing w:before="100"/>
              <w:rPr>
                <w:rFonts w:eastAsiaTheme="minorEastAsia" w:cstheme="minorBidi"/>
                <w:color w:val="000000"/>
                <w:szCs w:val="21"/>
              </w:rPr>
            </w:pPr>
            <w:r>
              <w:rPr>
                <w:rFonts w:hint="eastAsia" w:eastAsiaTheme="minorEastAsia" w:cstheme="minorBidi"/>
                <w:color w:val="000000"/>
                <w:szCs w:val="21"/>
              </w:rPr>
              <w:t>62</w:t>
            </w:r>
          </w:p>
        </w:tc>
        <w:tc>
          <w:tcPr>
            <w:tcW w:w="2393" w:type="dxa"/>
            <w:shd w:val="clear" w:color="auto" w:fill="D9E2F3" w:themeFill="accent1" w:themeFillTint="33"/>
            <w:noWrap/>
            <w:vAlign w:val="bottom"/>
          </w:tcPr>
          <w:p>
            <w:pPr>
              <w:pStyle w:val="220"/>
              <w:spacing w:before="100"/>
              <w:rPr>
                <w:rFonts w:eastAsiaTheme="minorEastAsia" w:cstheme="minorBidi"/>
                <w:color w:val="000000"/>
                <w:szCs w:val="21"/>
              </w:rPr>
            </w:pPr>
            <w:r>
              <w:rPr>
                <w:rFonts w:hint="eastAsia" w:eastAsiaTheme="minorEastAsia" w:cstheme="minorBidi"/>
                <w:color w:val="000000"/>
                <w:szCs w:val="21"/>
              </w:rPr>
              <w:t>1.21%</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continue"/>
            <w:shd w:val="clear" w:color="auto" w:fill="4472C4" w:themeFill="accent1"/>
            <w:vAlign w:val="center"/>
          </w:tcPr>
          <w:p>
            <w:pPr>
              <w:pStyle w:val="220"/>
              <w:spacing w:before="100"/>
              <w:rPr>
                <w:rFonts w:eastAsiaTheme="minorEastAsia" w:cstheme="minorBidi"/>
                <w:b w:val="0"/>
                <w:bCs/>
              </w:rPr>
            </w:pPr>
          </w:p>
        </w:tc>
        <w:tc>
          <w:tcPr>
            <w:tcW w:w="2539" w:type="dxa"/>
            <w:noWrap/>
            <w:vAlign w:val="top"/>
          </w:tcPr>
          <w:p>
            <w:pPr>
              <w:pStyle w:val="220"/>
              <w:spacing w:before="100"/>
              <w:rPr>
                <w:rFonts w:eastAsiaTheme="minorEastAsia" w:cstheme="minorBidi"/>
                <w:color w:val="000000"/>
                <w:szCs w:val="21"/>
              </w:rPr>
            </w:pPr>
            <w:r>
              <w:rPr>
                <w:rFonts w:hint="eastAsia" w:eastAsiaTheme="minorEastAsia" w:cstheme="minorBidi"/>
                <w:color w:val="000000"/>
                <w:szCs w:val="21"/>
              </w:rPr>
              <w:t>应用化学</w:t>
            </w:r>
          </w:p>
        </w:tc>
        <w:tc>
          <w:tcPr>
            <w:tcW w:w="2247" w:type="dxa"/>
            <w:noWrap/>
            <w:vAlign w:val="bottom"/>
          </w:tcPr>
          <w:p>
            <w:pPr>
              <w:pStyle w:val="220"/>
              <w:spacing w:before="100"/>
              <w:rPr>
                <w:rFonts w:eastAsiaTheme="minorEastAsia" w:cstheme="minorBidi"/>
                <w:color w:val="000000"/>
                <w:szCs w:val="21"/>
              </w:rPr>
            </w:pPr>
            <w:r>
              <w:rPr>
                <w:rFonts w:hint="eastAsia" w:eastAsiaTheme="minorEastAsia" w:cstheme="minorBidi"/>
                <w:color w:val="000000"/>
                <w:szCs w:val="21"/>
              </w:rPr>
              <w:t>59</w:t>
            </w:r>
          </w:p>
        </w:tc>
        <w:tc>
          <w:tcPr>
            <w:tcW w:w="2393" w:type="dxa"/>
            <w:noWrap/>
            <w:vAlign w:val="bottom"/>
          </w:tcPr>
          <w:p>
            <w:pPr>
              <w:pStyle w:val="220"/>
              <w:spacing w:before="100"/>
              <w:rPr>
                <w:rFonts w:eastAsiaTheme="minorEastAsia" w:cstheme="minorBidi"/>
                <w:color w:val="000000"/>
                <w:szCs w:val="21"/>
              </w:rPr>
            </w:pPr>
            <w:r>
              <w:rPr>
                <w:rFonts w:hint="eastAsia" w:eastAsiaTheme="minorEastAsia" w:cstheme="minorBidi"/>
                <w:color w:val="000000"/>
                <w:szCs w:val="21"/>
              </w:rPr>
              <w:t>1.15%</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continue"/>
            <w:shd w:val="clear" w:color="auto" w:fill="4472C4" w:themeFill="accent1"/>
            <w:vAlign w:val="center"/>
          </w:tcPr>
          <w:p>
            <w:pPr>
              <w:pStyle w:val="220"/>
              <w:spacing w:before="100"/>
              <w:rPr>
                <w:rFonts w:eastAsiaTheme="minorEastAsia" w:cstheme="minorBidi"/>
                <w:b w:val="0"/>
                <w:bCs/>
              </w:rPr>
            </w:pPr>
          </w:p>
        </w:tc>
        <w:tc>
          <w:tcPr>
            <w:tcW w:w="2539" w:type="dxa"/>
            <w:shd w:val="clear" w:color="auto" w:fill="D9E2F3" w:themeFill="accent1" w:themeFillTint="33"/>
            <w:noWrap/>
            <w:vAlign w:val="top"/>
          </w:tcPr>
          <w:p>
            <w:pPr>
              <w:pStyle w:val="220"/>
              <w:spacing w:before="100"/>
              <w:rPr>
                <w:rFonts w:eastAsiaTheme="minorEastAsia" w:cstheme="minorBidi"/>
                <w:color w:val="000000"/>
                <w:szCs w:val="21"/>
              </w:rPr>
            </w:pPr>
            <w:r>
              <w:rPr>
                <w:rFonts w:hint="eastAsia" w:eastAsiaTheme="minorEastAsia" w:cstheme="minorBidi"/>
                <w:color w:val="000000"/>
                <w:szCs w:val="21"/>
              </w:rPr>
              <w:t>材料科学与工程</w:t>
            </w:r>
          </w:p>
        </w:tc>
        <w:tc>
          <w:tcPr>
            <w:tcW w:w="2247" w:type="dxa"/>
            <w:shd w:val="clear" w:color="auto" w:fill="D9E2F3" w:themeFill="accent1" w:themeFillTint="33"/>
            <w:noWrap/>
            <w:vAlign w:val="bottom"/>
          </w:tcPr>
          <w:p>
            <w:pPr>
              <w:pStyle w:val="220"/>
              <w:spacing w:before="100"/>
              <w:rPr>
                <w:rFonts w:eastAsiaTheme="minorEastAsia" w:cstheme="minorBidi"/>
                <w:color w:val="000000"/>
                <w:szCs w:val="21"/>
              </w:rPr>
            </w:pPr>
            <w:r>
              <w:rPr>
                <w:rFonts w:hint="eastAsia" w:eastAsiaTheme="minorEastAsia" w:cstheme="minorBidi"/>
                <w:color w:val="000000"/>
                <w:szCs w:val="21"/>
              </w:rPr>
              <w:t>49</w:t>
            </w:r>
          </w:p>
        </w:tc>
        <w:tc>
          <w:tcPr>
            <w:tcW w:w="2393" w:type="dxa"/>
            <w:shd w:val="clear" w:color="auto" w:fill="D9E2F3" w:themeFill="accent1" w:themeFillTint="33"/>
            <w:noWrap/>
            <w:vAlign w:val="bottom"/>
          </w:tcPr>
          <w:p>
            <w:pPr>
              <w:pStyle w:val="220"/>
              <w:spacing w:before="100"/>
              <w:rPr>
                <w:rFonts w:eastAsiaTheme="minorEastAsia" w:cstheme="minorBidi"/>
                <w:color w:val="000000"/>
                <w:szCs w:val="21"/>
              </w:rPr>
            </w:pPr>
            <w:r>
              <w:rPr>
                <w:rFonts w:hint="eastAsia" w:eastAsiaTheme="minorEastAsia" w:cstheme="minorBidi"/>
                <w:color w:val="000000"/>
                <w:szCs w:val="21"/>
              </w:rPr>
              <w:t>0.96%</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continue"/>
            <w:shd w:val="clear" w:color="auto" w:fill="4472C4" w:themeFill="accent1"/>
            <w:vAlign w:val="center"/>
          </w:tcPr>
          <w:p>
            <w:pPr>
              <w:pStyle w:val="220"/>
              <w:spacing w:before="100"/>
              <w:rPr>
                <w:rFonts w:eastAsiaTheme="minorEastAsia" w:cstheme="minorBidi"/>
                <w:b w:val="0"/>
                <w:bCs/>
              </w:rPr>
            </w:pPr>
          </w:p>
        </w:tc>
        <w:tc>
          <w:tcPr>
            <w:tcW w:w="2539" w:type="dxa"/>
            <w:noWrap/>
            <w:vAlign w:val="top"/>
          </w:tcPr>
          <w:p>
            <w:pPr>
              <w:pStyle w:val="220"/>
              <w:spacing w:before="100"/>
              <w:rPr>
                <w:rFonts w:eastAsiaTheme="minorEastAsia" w:cstheme="minorBidi"/>
                <w:b/>
                <w:bCs/>
                <w:color w:val="000000"/>
                <w:szCs w:val="21"/>
              </w:rPr>
            </w:pPr>
            <w:r>
              <w:rPr>
                <w:rFonts w:hint="eastAsia" w:eastAsiaTheme="minorEastAsia" w:cstheme="minorBidi"/>
                <w:b/>
                <w:bCs/>
                <w:color w:val="000000"/>
                <w:szCs w:val="21"/>
              </w:rPr>
              <w:t>小计</w:t>
            </w:r>
          </w:p>
        </w:tc>
        <w:tc>
          <w:tcPr>
            <w:tcW w:w="2247" w:type="dxa"/>
            <w:noWrap/>
            <w:vAlign w:val="bottom"/>
          </w:tcPr>
          <w:p>
            <w:pPr>
              <w:pStyle w:val="220"/>
              <w:spacing w:before="100"/>
              <w:rPr>
                <w:rFonts w:eastAsiaTheme="minorEastAsia" w:cstheme="minorBidi"/>
                <w:b/>
                <w:bCs/>
                <w:color w:val="000000"/>
                <w:szCs w:val="21"/>
              </w:rPr>
            </w:pPr>
            <w:r>
              <w:rPr>
                <w:rFonts w:hint="eastAsia" w:eastAsiaTheme="minorEastAsia" w:cstheme="minorBidi"/>
                <w:b/>
                <w:bCs/>
                <w:color w:val="000000"/>
                <w:szCs w:val="21"/>
              </w:rPr>
              <w:t>235</w:t>
            </w:r>
          </w:p>
        </w:tc>
        <w:tc>
          <w:tcPr>
            <w:tcW w:w="2393" w:type="dxa"/>
            <w:noWrap/>
            <w:vAlign w:val="bottom"/>
          </w:tcPr>
          <w:p>
            <w:pPr>
              <w:pStyle w:val="220"/>
              <w:spacing w:before="100"/>
              <w:rPr>
                <w:rFonts w:eastAsiaTheme="minorEastAsia" w:cstheme="minorBidi"/>
                <w:b/>
                <w:bCs/>
                <w:color w:val="000000"/>
                <w:szCs w:val="21"/>
              </w:rPr>
            </w:pPr>
            <w:r>
              <w:rPr>
                <w:rFonts w:hint="eastAsia" w:eastAsiaTheme="minorEastAsia" w:cstheme="minorBidi"/>
                <w:b/>
                <w:bCs/>
                <w:color w:val="000000"/>
                <w:szCs w:val="21"/>
              </w:rPr>
              <w:t>4.60%</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restart"/>
            <w:shd w:val="clear" w:color="auto" w:fill="4472C4" w:themeFill="accent1"/>
            <w:vAlign w:val="center"/>
          </w:tcPr>
          <w:p>
            <w:pPr>
              <w:pStyle w:val="220"/>
              <w:spacing w:before="100"/>
              <w:rPr>
                <w:rFonts w:eastAsiaTheme="minorEastAsia" w:cstheme="minorBidi"/>
                <w:b/>
                <w:bCs w:val="0"/>
              </w:rPr>
            </w:pPr>
            <w:r>
              <w:rPr>
                <w:rFonts w:hint="eastAsia" w:eastAsiaTheme="minorEastAsia" w:cstheme="minorBidi"/>
                <w:b/>
                <w:bCs w:val="0"/>
                <w:color w:val="FFFFFF" w:themeColor="background1"/>
                <w14:textFill>
                  <w14:solidFill>
                    <w14:schemeClr w14:val="bg1"/>
                  </w14:solidFill>
                </w14:textFill>
              </w:rPr>
              <w:t>外国语学院</w:t>
            </w:r>
          </w:p>
        </w:tc>
        <w:tc>
          <w:tcPr>
            <w:tcW w:w="2539" w:type="dxa"/>
            <w:shd w:val="clear" w:color="auto" w:fill="D9E2F3" w:themeFill="accent1" w:themeFillTint="33"/>
            <w:noWrap/>
            <w:vAlign w:val="top"/>
          </w:tcPr>
          <w:p>
            <w:pPr>
              <w:pStyle w:val="220"/>
              <w:spacing w:before="100"/>
              <w:rPr>
                <w:rFonts w:eastAsiaTheme="minorEastAsia" w:cstheme="minorBidi"/>
                <w:color w:val="000000"/>
                <w:szCs w:val="21"/>
              </w:rPr>
            </w:pPr>
            <w:r>
              <w:rPr>
                <w:rFonts w:hint="eastAsia" w:eastAsiaTheme="minorEastAsia" w:cstheme="minorBidi"/>
                <w:color w:val="000000"/>
                <w:szCs w:val="21"/>
              </w:rPr>
              <w:t>英语</w:t>
            </w:r>
          </w:p>
        </w:tc>
        <w:tc>
          <w:tcPr>
            <w:tcW w:w="2247" w:type="dxa"/>
            <w:shd w:val="clear" w:color="auto" w:fill="D9E2F3" w:themeFill="accent1" w:themeFillTint="33"/>
            <w:noWrap/>
            <w:vAlign w:val="bottom"/>
          </w:tcPr>
          <w:p>
            <w:pPr>
              <w:pStyle w:val="220"/>
              <w:spacing w:before="100"/>
              <w:rPr>
                <w:rFonts w:eastAsiaTheme="minorEastAsia" w:cstheme="minorBidi"/>
                <w:color w:val="000000"/>
                <w:szCs w:val="21"/>
              </w:rPr>
            </w:pPr>
            <w:r>
              <w:rPr>
                <w:rFonts w:hint="eastAsia" w:eastAsiaTheme="minorEastAsia" w:cstheme="minorBidi"/>
                <w:color w:val="000000"/>
                <w:szCs w:val="21"/>
              </w:rPr>
              <w:t>183</w:t>
            </w:r>
          </w:p>
        </w:tc>
        <w:tc>
          <w:tcPr>
            <w:tcW w:w="2393" w:type="dxa"/>
            <w:shd w:val="clear" w:color="auto" w:fill="D9E2F3" w:themeFill="accent1" w:themeFillTint="33"/>
            <w:noWrap/>
            <w:vAlign w:val="bottom"/>
          </w:tcPr>
          <w:p>
            <w:pPr>
              <w:pStyle w:val="220"/>
              <w:spacing w:before="100"/>
              <w:rPr>
                <w:rFonts w:eastAsiaTheme="minorEastAsia" w:cstheme="minorBidi"/>
                <w:color w:val="000000"/>
                <w:szCs w:val="21"/>
              </w:rPr>
            </w:pPr>
            <w:r>
              <w:rPr>
                <w:rFonts w:hint="eastAsia" w:eastAsiaTheme="minorEastAsia" w:cstheme="minorBidi"/>
                <w:color w:val="000000"/>
                <w:szCs w:val="21"/>
              </w:rPr>
              <w:t>3.58%</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continue"/>
            <w:shd w:val="clear" w:color="auto" w:fill="4472C4" w:themeFill="accent1"/>
            <w:vAlign w:val="center"/>
          </w:tcPr>
          <w:p>
            <w:pPr>
              <w:pStyle w:val="220"/>
              <w:spacing w:before="100"/>
              <w:rPr>
                <w:rFonts w:eastAsiaTheme="minorEastAsia" w:cstheme="minorBidi"/>
                <w:b w:val="0"/>
                <w:bCs/>
              </w:rPr>
            </w:pPr>
          </w:p>
        </w:tc>
        <w:tc>
          <w:tcPr>
            <w:tcW w:w="2539" w:type="dxa"/>
            <w:noWrap/>
            <w:vAlign w:val="top"/>
          </w:tcPr>
          <w:p>
            <w:pPr>
              <w:pStyle w:val="220"/>
              <w:spacing w:before="100"/>
              <w:rPr>
                <w:rFonts w:eastAsiaTheme="minorEastAsia" w:cstheme="minorBidi"/>
                <w:color w:val="000000"/>
                <w:szCs w:val="21"/>
              </w:rPr>
            </w:pPr>
            <w:r>
              <w:rPr>
                <w:rFonts w:hint="eastAsia" w:eastAsiaTheme="minorEastAsia" w:cstheme="minorBidi"/>
                <w:color w:val="000000"/>
                <w:szCs w:val="21"/>
              </w:rPr>
              <w:t>英语(翻译)</w:t>
            </w:r>
          </w:p>
        </w:tc>
        <w:tc>
          <w:tcPr>
            <w:tcW w:w="2247" w:type="dxa"/>
            <w:noWrap/>
            <w:vAlign w:val="bottom"/>
          </w:tcPr>
          <w:p>
            <w:pPr>
              <w:pStyle w:val="220"/>
              <w:spacing w:before="100"/>
              <w:rPr>
                <w:rFonts w:eastAsiaTheme="minorEastAsia" w:cstheme="minorBidi"/>
                <w:color w:val="000000"/>
                <w:szCs w:val="21"/>
              </w:rPr>
            </w:pPr>
            <w:r>
              <w:rPr>
                <w:rFonts w:hint="eastAsia" w:eastAsiaTheme="minorEastAsia" w:cstheme="minorBidi"/>
                <w:color w:val="000000"/>
                <w:szCs w:val="21"/>
              </w:rPr>
              <w:t>40</w:t>
            </w:r>
          </w:p>
        </w:tc>
        <w:tc>
          <w:tcPr>
            <w:tcW w:w="2393" w:type="dxa"/>
            <w:noWrap/>
            <w:vAlign w:val="bottom"/>
          </w:tcPr>
          <w:p>
            <w:pPr>
              <w:pStyle w:val="220"/>
              <w:spacing w:before="100"/>
              <w:rPr>
                <w:rFonts w:eastAsiaTheme="minorEastAsia" w:cstheme="minorBidi"/>
                <w:color w:val="000000"/>
                <w:szCs w:val="21"/>
              </w:rPr>
            </w:pPr>
            <w:r>
              <w:rPr>
                <w:rFonts w:hint="eastAsia" w:eastAsiaTheme="minorEastAsia" w:cstheme="minorBidi"/>
                <w:color w:val="000000"/>
                <w:szCs w:val="21"/>
              </w:rPr>
              <w:t>0.78%</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continue"/>
            <w:shd w:val="clear" w:color="auto" w:fill="4472C4" w:themeFill="accent1"/>
            <w:vAlign w:val="center"/>
          </w:tcPr>
          <w:p>
            <w:pPr>
              <w:pStyle w:val="220"/>
              <w:spacing w:before="100"/>
              <w:rPr>
                <w:rFonts w:eastAsiaTheme="minorEastAsia" w:cstheme="minorBidi"/>
                <w:b w:val="0"/>
                <w:bCs/>
              </w:rPr>
            </w:pPr>
          </w:p>
        </w:tc>
        <w:tc>
          <w:tcPr>
            <w:tcW w:w="2539" w:type="dxa"/>
            <w:shd w:val="clear" w:color="auto" w:fill="D9E2F3" w:themeFill="accent1" w:themeFillTint="33"/>
            <w:noWrap/>
            <w:vAlign w:val="top"/>
          </w:tcPr>
          <w:p>
            <w:pPr>
              <w:pStyle w:val="220"/>
              <w:spacing w:before="100"/>
              <w:rPr>
                <w:rFonts w:eastAsiaTheme="minorEastAsia" w:cstheme="minorBidi"/>
                <w:b/>
                <w:bCs/>
                <w:color w:val="000000"/>
                <w:szCs w:val="21"/>
              </w:rPr>
            </w:pPr>
            <w:r>
              <w:rPr>
                <w:rFonts w:hint="eastAsia" w:eastAsiaTheme="minorEastAsia" w:cstheme="minorBidi"/>
                <w:b/>
                <w:bCs/>
                <w:color w:val="000000"/>
                <w:szCs w:val="21"/>
              </w:rPr>
              <w:t>小计</w:t>
            </w:r>
          </w:p>
        </w:tc>
        <w:tc>
          <w:tcPr>
            <w:tcW w:w="2247" w:type="dxa"/>
            <w:shd w:val="clear" w:color="auto" w:fill="D9E2F3" w:themeFill="accent1" w:themeFillTint="33"/>
            <w:noWrap/>
            <w:vAlign w:val="bottom"/>
          </w:tcPr>
          <w:p>
            <w:pPr>
              <w:pStyle w:val="220"/>
              <w:spacing w:before="100"/>
              <w:rPr>
                <w:rFonts w:eastAsiaTheme="minorEastAsia" w:cstheme="minorBidi"/>
                <w:b/>
                <w:bCs/>
                <w:color w:val="000000"/>
                <w:szCs w:val="21"/>
              </w:rPr>
            </w:pPr>
            <w:r>
              <w:rPr>
                <w:rFonts w:hint="eastAsia" w:eastAsiaTheme="minorEastAsia" w:cstheme="minorBidi"/>
                <w:b/>
                <w:bCs/>
                <w:color w:val="000000"/>
                <w:szCs w:val="21"/>
              </w:rPr>
              <w:t>223</w:t>
            </w:r>
          </w:p>
        </w:tc>
        <w:tc>
          <w:tcPr>
            <w:tcW w:w="2393" w:type="dxa"/>
            <w:shd w:val="clear" w:color="auto" w:fill="D9E2F3" w:themeFill="accent1" w:themeFillTint="33"/>
            <w:noWrap/>
            <w:vAlign w:val="bottom"/>
          </w:tcPr>
          <w:p>
            <w:pPr>
              <w:pStyle w:val="220"/>
              <w:spacing w:before="100"/>
              <w:rPr>
                <w:rFonts w:eastAsiaTheme="minorEastAsia" w:cstheme="minorBidi"/>
                <w:b/>
                <w:bCs/>
                <w:color w:val="000000"/>
                <w:szCs w:val="21"/>
              </w:rPr>
            </w:pPr>
            <w:r>
              <w:rPr>
                <w:rFonts w:hint="eastAsia" w:eastAsiaTheme="minorEastAsia" w:cstheme="minorBidi"/>
                <w:b/>
                <w:bCs/>
                <w:color w:val="000000"/>
                <w:szCs w:val="21"/>
              </w:rPr>
              <w:t>4.36%</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restart"/>
            <w:shd w:val="clear" w:color="auto" w:fill="4472C4" w:themeFill="accent1"/>
            <w:vAlign w:val="center"/>
          </w:tcPr>
          <w:p>
            <w:pPr>
              <w:pStyle w:val="220"/>
              <w:spacing w:before="100"/>
              <w:rPr>
                <w:rFonts w:eastAsiaTheme="minorEastAsia" w:cstheme="minorBidi"/>
                <w:b/>
                <w:bCs w:val="0"/>
              </w:rPr>
            </w:pPr>
            <w:r>
              <w:rPr>
                <w:rFonts w:hint="eastAsia" w:eastAsiaTheme="minorEastAsia" w:cstheme="minorBidi"/>
                <w:b/>
                <w:bCs w:val="0"/>
                <w:color w:val="FFFFFF" w:themeColor="background1"/>
                <w14:textFill>
                  <w14:solidFill>
                    <w14:schemeClr w14:val="bg1"/>
                  </w14:solidFill>
                </w14:textFill>
              </w:rPr>
              <w:t>体育学院</w:t>
            </w:r>
          </w:p>
        </w:tc>
        <w:tc>
          <w:tcPr>
            <w:tcW w:w="2539" w:type="dxa"/>
            <w:noWrap/>
            <w:vAlign w:val="top"/>
          </w:tcPr>
          <w:p>
            <w:pPr>
              <w:pStyle w:val="220"/>
              <w:spacing w:before="100"/>
              <w:rPr>
                <w:rFonts w:eastAsiaTheme="minorEastAsia" w:cstheme="minorBidi"/>
                <w:color w:val="000000"/>
                <w:szCs w:val="21"/>
              </w:rPr>
            </w:pPr>
            <w:r>
              <w:rPr>
                <w:rFonts w:hint="eastAsia" w:eastAsiaTheme="minorEastAsia" w:cstheme="minorBidi"/>
                <w:szCs w:val="21"/>
              </w:rPr>
              <w:t>体育教育</w:t>
            </w:r>
          </w:p>
        </w:tc>
        <w:tc>
          <w:tcPr>
            <w:tcW w:w="2247" w:type="dxa"/>
            <w:noWrap/>
            <w:vAlign w:val="top"/>
          </w:tcPr>
          <w:p>
            <w:pPr>
              <w:pStyle w:val="220"/>
              <w:spacing w:before="100"/>
              <w:rPr>
                <w:rFonts w:eastAsiaTheme="minorEastAsia" w:cstheme="minorBidi"/>
                <w:color w:val="000000"/>
                <w:szCs w:val="21"/>
              </w:rPr>
            </w:pPr>
            <w:r>
              <w:rPr>
                <w:rFonts w:hint="eastAsia" w:eastAsiaTheme="minorEastAsia" w:cstheme="minorBidi"/>
                <w:szCs w:val="21"/>
              </w:rPr>
              <w:t>152</w:t>
            </w:r>
          </w:p>
        </w:tc>
        <w:tc>
          <w:tcPr>
            <w:tcW w:w="2393" w:type="dxa"/>
            <w:noWrap/>
            <w:vAlign w:val="top"/>
          </w:tcPr>
          <w:p>
            <w:pPr>
              <w:pStyle w:val="220"/>
              <w:spacing w:before="100"/>
              <w:rPr>
                <w:rFonts w:eastAsiaTheme="minorEastAsia" w:cstheme="minorBidi"/>
                <w:color w:val="000000"/>
                <w:szCs w:val="21"/>
              </w:rPr>
            </w:pPr>
            <w:r>
              <w:rPr>
                <w:rFonts w:hint="eastAsia" w:eastAsiaTheme="minorEastAsia" w:cstheme="minorBidi"/>
                <w:szCs w:val="21"/>
              </w:rPr>
              <w:t>2.97%</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continue"/>
            <w:shd w:val="clear" w:color="auto" w:fill="4472C4" w:themeFill="accent1"/>
            <w:vAlign w:val="center"/>
          </w:tcPr>
          <w:p>
            <w:pPr>
              <w:pStyle w:val="220"/>
              <w:spacing w:before="100"/>
              <w:rPr>
                <w:rFonts w:eastAsiaTheme="minorEastAsia" w:cstheme="minorBidi"/>
                <w:b w:val="0"/>
                <w:bCs/>
              </w:rPr>
            </w:pPr>
          </w:p>
        </w:tc>
        <w:tc>
          <w:tcPr>
            <w:tcW w:w="2539" w:type="dxa"/>
            <w:shd w:val="clear" w:color="auto" w:fill="D9E2F3" w:themeFill="accent1" w:themeFillTint="33"/>
            <w:noWrap/>
            <w:vAlign w:val="top"/>
          </w:tcPr>
          <w:p>
            <w:pPr>
              <w:pStyle w:val="220"/>
              <w:spacing w:before="100"/>
              <w:rPr>
                <w:rFonts w:eastAsiaTheme="minorEastAsia" w:cstheme="minorBidi"/>
                <w:color w:val="000000"/>
                <w:szCs w:val="21"/>
              </w:rPr>
            </w:pPr>
            <w:r>
              <w:rPr>
                <w:rFonts w:hint="eastAsia" w:eastAsiaTheme="minorEastAsia" w:cstheme="minorBidi"/>
                <w:szCs w:val="21"/>
              </w:rPr>
              <w:t>休闲体育</w:t>
            </w:r>
          </w:p>
        </w:tc>
        <w:tc>
          <w:tcPr>
            <w:tcW w:w="2247" w:type="dxa"/>
            <w:shd w:val="clear" w:color="auto" w:fill="D9E2F3" w:themeFill="accent1" w:themeFillTint="33"/>
            <w:noWrap/>
            <w:vAlign w:val="top"/>
          </w:tcPr>
          <w:p>
            <w:pPr>
              <w:pStyle w:val="220"/>
              <w:spacing w:before="100"/>
              <w:rPr>
                <w:rFonts w:eastAsiaTheme="minorEastAsia" w:cstheme="minorBidi"/>
                <w:color w:val="000000"/>
                <w:szCs w:val="21"/>
              </w:rPr>
            </w:pPr>
            <w:r>
              <w:rPr>
                <w:rFonts w:hint="eastAsia" w:eastAsiaTheme="minorEastAsia" w:cstheme="minorBidi"/>
                <w:szCs w:val="21"/>
              </w:rPr>
              <w:t>57</w:t>
            </w:r>
          </w:p>
        </w:tc>
        <w:tc>
          <w:tcPr>
            <w:tcW w:w="2393" w:type="dxa"/>
            <w:shd w:val="clear" w:color="auto" w:fill="D9E2F3" w:themeFill="accent1" w:themeFillTint="33"/>
            <w:noWrap/>
            <w:vAlign w:val="top"/>
          </w:tcPr>
          <w:p>
            <w:pPr>
              <w:pStyle w:val="220"/>
              <w:spacing w:before="100"/>
              <w:rPr>
                <w:rFonts w:eastAsiaTheme="minorEastAsia" w:cstheme="minorBidi"/>
                <w:color w:val="000000"/>
                <w:szCs w:val="21"/>
              </w:rPr>
            </w:pPr>
            <w:r>
              <w:rPr>
                <w:rFonts w:hint="eastAsia" w:eastAsiaTheme="minorEastAsia" w:cstheme="minorBidi"/>
                <w:szCs w:val="21"/>
              </w:rPr>
              <w:t>1.12%</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continue"/>
            <w:shd w:val="clear" w:color="auto" w:fill="4472C4" w:themeFill="accent1"/>
            <w:vAlign w:val="center"/>
          </w:tcPr>
          <w:p>
            <w:pPr>
              <w:pStyle w:val="220"/>
              <w:spacing w:before="100"/>
              <w:rPr>
                <w:rFonts w:eastAsiaTheme="minorEastAsia" w:cstheme="minorBidi"/>
                <w:b w:val="0"/>
                <w:bCs/>
              </w:rPr>
            </w:pPr>
          </w:p>
        </w:tc>
        <w:tc>
          <w:tcPr>
            <w:tcW w:w="2539" w:type="dxa"/>
            <w:noWrap/>
            <w:vAlign w:val="top"/>
          </w:tcPr>
          <w:p>
            <w:pPr>
              <w:pStyle w:val="220"/>
              <w:spacing w:before="100"/>
              <w:rPr>
                <w:rFonts w:eastAsiaTheme="minorEastAsia" w:cstheme="minorBidi"/>
                <w:b/>
                <w:bCs/>
                <w:color w:val="000000"/>
                <w:szCs w:val="21"/>
              </w:rPr>
            </w:pPr>
            <w:r>
              <w:rPr>
                <w:rFonts w:hint="eastAsia" w:eastAsiaTheme="minorEastAsia" w:cstheme="minorBidi"/>
                <w:b/>
                <w:bCs/>
                <w:szCs w:val="21"/>
              </w:rPr>
              <w:t>小计</w:t>
            </w:r>
          </w:p>
        </w:tc>
        <w:tc>
          <w:tcPr>
            <w:tcW w:w="2247" w:type="dxa"/>
            <w:noWrap/>
            <w:vAlign w:val="top"/>
          </w:tcPr>
          <w:p>
            <w:pPr>
              <w:pStyle w:val="220"/>
              <w:spacing w:before="100"/>
              <w:rPr>
                <w:rFonts w:eastAsiaTheme="minorEastAsia" w:cstheme="minorBidi"/>
                <w:b/>
                <w:bCs/>
                <w:color w:val="000000"/>
                <w:szCs w:val="21"/>
              </w:rPr>
            </w:pPr>
            <w:r>
              <w:rPr>
                <w:rFonts w:hint="eastAsia" w:eastAsiaTheme="minorEastAsia" w:cstheme="minorBidi"/>
                <w:b/>
                <w:bCs/>
                <w:szCs w:val="21"/>
              </w:rPr>
              <w:t>209</w:t>
            </w:r>
          </w:p>
        </w:tc>
        <w:tc>
          <w:tcPr>
            <w:tcW w:w="2393" w:type="dxa"/>
            <w:noWrap/>
            <w:vAlign w:val="top"/>
          </w:tcPr>
          <w:p>
            <w:pPr>
              <w:pStyle w:val="220"/>
              <w:spacing w:before="100"/>
              <w:rPr>
                <w:rFonts w:eastAsiaTheme="minorEastAsia" w:cstheme="minorBidi"/>
                <w:b/>
                <w:bCs/>
                <w:color w:val="000000"/>
                <w:szCs w:val="21"/>
              </w:rPr>
            </w:pPr>
            <w:r>
              <w:rPr>
                <w:rFonts w:hint="eastAsia" w:eastAsiaTheme="minorEastAsia" w:cstheme="minorBidi"/>
                <w:b/>
                <w:bCs/>
                <w:szCs w:val="21"/>
              </w:rPr>
              <w:t>4.09%</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restart"/>
            <w:shd w:val="clear" w:color="auto" w:fill="4472C4" w:themeFill="accent1"/>
            <w:vAlign w:val="center"/>
          </w:tcPr>
          <w:p>
            <w:pPr>
              <w:pStyle w:val="220"/>
              <w:spacing w:before="100"/>
              <w:rPr>
                <w:rFonts w:eastAsiaTheme="minorEastAsia" w:cstheme="minorBidi"/>
                <w:b/>
                <w:bCs w:val="0"/>
              </w:rPr>
            </w:pPr>
            <w:r>
              <w:rPr>
                <w:rFonts w:hint="eastAsia" w:eastAsiaTheme="minorEastAsia" w:cstheme="minorBidi"/>
                <w:b/>
                <w:bCs w:val="0"/>
                <w:color w:val="FFFFFF" w:themeColor="background1"/>
                <w14:textFill>
                  <w14:solidFill>
                    <w14:schemeClr w14:val="bg1"/>
                  </w14:solidFill>
                </w14:textFill>
              </w:rPr>
              <w:t>文化与传媒学院</w:t>
            </w:r>
          </w:p>
        </w:tc>
        <w:tc>
          <w:tcPr>
            <w:tcW w:w="2539" w:type="dxa"/>
            <w:shd w:val="clear" w:color="auto" w:fill="D9E2F3" w:themeFill="accent1" w:themeFillTint="33"/>
            <w:noWrap/>
            <w:vAlign w:val="top"/>
          </w:tcPr>
          <w:p>
            <w:pPr>
              <w:pStyle w:val="220"/>
              <w:spacing w:before="100"/>
              <w:rPr>
                <w:rFonts w:eastAsiaTheme="minorEastAsia" w:cstheme="minorBidi"/>
                <w:color w:val="000000"/>
                <w:szCs w:val="21"/>
              </w:rPr>
            </w:pPr>
            <w:r>
              <w:rPr>
                <w:rFonts w:hint="eastAsia" w:eastAsiaTheme="minorEastAsia" w:cstheme="minorBidi"/>
                <w:szCs w:val="21"/>
              </w:rPr>
              <w:t>网络与新媒体</w:t>
            </w:r>
          </w:p>
        </w:tc>
        <w:tc>
          <w:tcPr>
            <w:tcW w:w="2247" w:type="dxa"/>
            <w:shd w:val="clear" w:color="auto" w:fill="D9E2F3" w:themeFill="accent1" w:themeFillTint="33"/>
            <w:noWrap/>
            <w:vAlign w:val="top"/>
          </w:tcPr>
          <w:p>
            <w:pPr>
              <w:pStyle w:val="220"/>
              <w:spacing w:before="100"/>
              <w:rPr>
                <w:rFonts w:eastAsiaTheme="minorEastAsia" w:cstheme="minorBidi"/>
                <w:color w:val="000000"/>
                <w:szCs w:val="21"/>
              </w:rPr>
            </w:pPr>
            <w:r>
              <w:rPr>
                <w:rFonts w:hint="eastAsia" w:eastAsiaTheme="minorEastAsia" w:cstheme="minorBidi"/>
                <w:szCs w:val="21"/>
              </w:rPr>
              <w:t>76</w:t>
            </w:r>
          </w:p>
        </w:tc>
        <w:tc>
          <w:tcPr>
            <w:tcW w:w="2393" w:type="dxa"/>
            <w:shd w:val="clear" w:color="auto" w:fill="D9E2F3" w:themeFill="accent1" w:themeFillTint="33"/>
            <w:noWrap/>
            <w:vAlign w:val="top"/>
          </w:tcPr>
          <w:p>
            <w:pPr>
              <w:pStyle w:val="220"/>
              <w:spacing w:before="100"/>
              <w:rPr>
                <w:rFonts w:eastAsiaTheme="minorEastAsia" w:cstheme="minorBidi"/>
                <w:color w:val="000000"/>
                <w:szCs w:val="21"/>
              </w:rPr>
            </w:pPr>
            <w:r>
              <w:rPr>
                <w:rFonts w:hint="eastAsia" w:eastAsiaTheme="minorEastAsia" w:cstheme="minorBidi"/>
                <w:szCs w:val="21"/>
              </w:rPr>
              <w:t>1.49%</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continue"/>
            <w:shd w:val="clear" w:color="auto" w:fill="4472C4" w:themeFill="accent1"/>
            <w:vAlign w:val="center"/>
          </w:tcPr>
          <w:p>
            <w:pPr>
              <w:pStyle w:val="220"/>
              <w:spacing w:before="100"/>
              <w:rPr>
                <w:rFonts w:eastAsiaTheme="minorEastAsia" w:cstheme="minorBidi"/>
                <w:b w:val="0"/>
                <w:bCs/>
              </w:rPr>
            </w:pPr>
          </w:p>
        </w:tc>
        <w:tc>
          <w:tcPr>
            <w:tcW w:w="2539" w:type="dxa"/>
            <w:noWrap/>
            <w:vAlign w:val="top"/>
          </w:tcPr>
          <w:p>
            <w:pPr>
              <w:pStyle w:val="220"/>
              <w:spacing w:before="100"/>
              <w:rPr>
                <w:rFonts w:eastAsiaTheme="minorEastAsia" w:cstheme="minorBidi"/>
                <w:color w:val="000000"/>
                <w:szCs w:val="21"/>
              </w:rPr>
            </w:pPr>
            <w:r>
              <w:rPr>
                <w:rFonts w:hint="eastAsia" w:eastAsiaTheme="minorEastAsia" w:cstheme="minorBidi"/>
                <w:szCs w:val="21"/>
              </w:rPr>
              <w:t>汉语言文学</w:t>
            </w:r>
          </w:p>
        </w:tc>
        <w:tc>
          <w:tcPr>
            <w:tcW w:w="2247" w:type="dxa"/>
            <w:noWrap/>
            <w:vAlign w:val="top"/>
          </w:tcPr>
          <w:p>
            <w:pPr>
              <w:pStyle w:val="220"/>
              <w:spacing w:before="100"/>
              <w:rPr>
                <w:rFonts w:eastAsiaTheme="minorEastAsia" w:cstheme="minorBidi"/>
                <w:color w:val="000000"/>
                <w:szCs w:val="21"/>
              </w:rPr>
            </w:pPr>
            <w:r>
              <w:rPr>
                <w:rFonts w:hint="eastAsia" w:eastAsiaTheme="minorEastAsia" w:cstheme="minorBidi"/>
                <w:szCs w:val="21"/>
              </w:rPr>
              <w:t>66</w:t>
            </w:r>
          </w:p>
        </w:tc>
        <w:tc>
          <w:tcPr>
            <w:tcW w:w="2393" w:type="dxa"/>
            <w:noWrap/>
            <w:vAlign w:val="top"/>
          </w:tcPr>
          <w:p>
            <w:pPr>
              <w:pStyle w:val="220"/>
              <w:spacing w:before="100"/>
              <w:rPr>
                <w:rFonts w:eastAsiaTheme="minorEastAsia" w:cstheme="minorBidi"/>
                <w:color w:val="000000"/>
                <w:szCs w:val="21"/>
              </w:rPr>
            </w:pPr>
            <w:r>
              <w:rPr>
                <w:rFonts w:hint="eastAsia" w:eastAsiaTheme="minorEastAsia" w:cstheme="minorBidi"/>
                <w:szCs w:val="21"/>
              </w:rPr>
              <w:t>1.29%</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continue"/>
            <w:shd w:val="clear" w:color="auto" w:fill="4472C4" w:themeFill="accent1"/>
            <w:vAlign w:val="center"/>
          </w:tcPr>
          <w:p>
            <w:pPr>
              <w:pStyle w:val="220"/>
              <w:spacing w:before="100"/>
              <w:rPr>
                <w:rFonts w:eastAsiaTheme="minorEastAsia" w:cstheme="minorBidi"/>
                <w:b w:val="0"/>
                <w:bCs/>
              </w:rPr>
            </w:pPr>
          </w:p>
        </w:tc>
        <w:tc>
          <w:tcPr>
            <w:tcW w:w="2539" w:type="dxa"/>
            <w:shd w:val="clear" w:color="auto" w:fill="D9E2F3" w:themeFill="accent1" w:themeFillTint="33"/>
            <w:noWrap/>
            <w:vAlign w:val="top"/>
          </w:tcPr>
          <w:p>
            <w:pPr>
              <w:pStyle w:val="220"/>
              <w:spacing w:before="100"/>
              <w:rPr>
                <w:rFonts w:eastAsiaTheme="minorEastAsia" w:cstheme="minorBidi"/>
                <w:color w:val="000000"/>
                <w:szCs w:val="21"/>
              </w:rPr>
            </w:pPr>
            <w:r>
              <w:rPr>
                <w:rFonts w:hint="eastAsia" w:eastAsiaTheme="minorEastAsia" w:cstheme="minorBidi"/>
                <w:szCs w:val="21"/>
              </w:rPr>
              <w:t>广告学</w:t>
            </w:r>
          </w:p>
        </w:tc>
        <w:tc>
          <w:tcPr>
            <w:tcW w:w="2247" w:type="dxa"/>
            <w:shd w:val="clear" w:color="auto" w:fill="D9E2F3" w:themeFill="accent1" w:themeFillTint="33"/>
            <w:noWrap/>
            <w:vAlign w:val="top"/>
          </w:tcPr>
          <w:p>
            <w:pPr>
              <w:pStyle w:val="220"/>
              <w:spacing w:before="100"/>
              <w:rPr>
                <w:rFonts w:eastAsiaTheme="minorEastAsia" w:cstheme="minorBidi"/>
                <w:color w:val="000000"/>
                <w:szCs w:val="21"/>
              </w:rPr>
            </w:pPr>
            <w:r>
              <w:rPr>
                <w:rFonts w:hint="eastAsia" w:eastAsiaTheme="minorEastAsia" w:cstheme="minorBidi"/>
                <w:szCs w:val="21"/>
              </w:rPr>
              <w:t>39</w:t>
            </w:r>
          </w:p>
        </w:tc>
        <w:tc>
          <w:tcPr>
            <w:tcW w:w="2393" w:type="dxa"/>
            <w:shd w:val="clear" w:color="auto" w:fill="D9E2F3" w:themeFill="accent1" w:themeFillTint="33"/>
            <w:noWrap/>
            <w:vAlign w:val="top"/>
          </w:tcPr>
          <w:p>
            <w:pPr>
              <w:pStyle w:val="220"/>
              <w:spacing w:before="100"/>
              <w:rPr>
                <w:rFonts w:eastAsiaTheme="minorEastAsia" w:cstheme="minorBidi"/>
                <w:color w:val="000000"/>
                <w:szCs w:val="21"/>
              </w:rPr>
            </w:pPr>
            <w:r>
              <w:rPr>
                <w:rFonts w:hint="eastAsia" w:eastAsiaTheme="minorEastAsia" w:cstheme="minorBidi"/>
                <w:szCs w:val="21"/>
              </w:rPr>
              <w:t>0.76%</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continue"/>
            <w:shd w:val="clear" w:color="auto" w:fill="4472C4" w:themeFill="accent1"/>
            <w:vAlign w:val="center"/>
          </w:tcPr>
          <w:p>
            <w:pPr>
              <w:pStyle w:val="220"/>
              <w:spacing w:before="100"/>
              <w:rPr>
                <w:rFonts w:eastAsiaTheme="minorEastAsia" w:cstheme="minorBidi"/>
                <w:b w:val="0"/>
                <w:bCs/>
              </w:rPr>
            </w:pPr>
          </w:p>
        </w:tc>
        <w:tc>
          <w:tcPr>
            <w:tcW w:w="2539" w:type="dxa"/>
            <w:noWrap/>
            <w:vAlign w:val="top"/>
          </w:tcPr>
          <w:p>
            <w:pPr>
              <w:pStyle w:val="220"/>
              <w:spacing w:before="100"/>
              <w:rPr>
                <w:rFonts w:eastAsiaTheme="minorEastAsia" w:cstheme="minorBidi"/>
                <w:color w:val="000000"/>
                <w:szCs w:val="21"/>
              </w:rPr>
            </w:pPr>
            <w:r>
              <w:rPr>
                <w:rFonts w:hint="eastAsia" w:eastAsiaTheme="minorEastAsia" w:cstheme="minorBidi"/>
                <w:szCs w:val="21"/>
              </w:rPr>
              <w:t>新闻学</w:t>
            </w:r>
          </w:p>
        </w:tc>
        <w:tc>
          <w:tcPr>
            <w:tcW w:w="2247" w:type="dxa"/>
            <w:noWrap/>
            <w:vAlign w:val="top"/>
          </w:tcPr>
          <w:p>
            <w:pPr>
              <w:pStyle w:val="220"/>
              <w:spacing w:before="100"/>
              <w:rPr>
                <w:rFonts w:eastAsiaTheme="minorEastAsia" w:cstheme="minorBidi"/>
                <w:color w:val="000000"/>
                <w:szCs w:val="21"/>
              </w:rPr>
            </w:pPr>
            <w:r>
              <w:rPr>
                <w:rFonts w:hint="eastAsia" w:eastAsiaTheme="minorEastAsia" w:cstheme="minorBidi"/>
                <w:szCs w:val="21"/>
              </w:rPr>
              <w:t>26</w:t>
            </w:r>
          </w:p>
        </w:tc>
        <w:tc>
          <w:tcPr>
            <w:tcW w:w="2393" w:type="dxa"/>
            <w:noWrap/>
            <w:vAlign w:val="top"/>
          </w:tcPr>
          <w:p>
            <w:pPr>
              <w:pStyle w:val="220"/>
              <w:spacing w:before="100"/>
              <w:rPr>
                <w:rFonts w:eastAsiaTheme="minorEastAsia" w:cstheme="minorBidi"/>
                <w:color w:val="000000"/>
                <w:szCs w:val="21"/>
              </w:rPr>
            </w:pPr>
            <w:r>
              <w:rPr>
                <w:rFonts w:hint="eastAsia" w:eastAsiaTheme="minorEastAsia" w:cstheme="minorBidi"/>
                <w:szCs w:val="21"/>
              </w:rPr>
              <w:t>0.51%</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continue"/>
            <w:shd w:val="clear" w:color="auto" w:fill="4472C4" w:themeFill="accent1"/>
            <w:vAlign w:val="center"/>
          </w:tcPr>
          <w:p>
            <w:pPr>
              <w:pStyle w:val="220"/>
              <w:spacing w:before="100"/>
              <w:rPr>
                <w:rFonts w:eastAsiaTheme="minorEastAsia" w:cstheme="minorBidi"/>
                <w:b w:val="0"/>
                <w:bCs/>
              </w:rPr>
            </w:pPr>
          </w:p>
        </w:tc>
        <w:tc>
          <w:tcPr>
            <w:tcW w:w="2539" w:type="dxa"/>
            <w:shd w:val="clear" w:color="auto" w:fill="D9E2F3" w:themeFill="accent1" w:themeFillTint="33"/>
            <w:noWrap/>
            <w:vAlign w:val="top"/>
          </w:tcPr>
          <w:p>
            <w:pPr>
              <w:pStyle w:val="220"/>
              <w:spacing w:before="100"/>
              <w:rPr>
                <w:rFonts w:eastAsiaTheme="minorEastAsia" w:cstheme="minorBidi"/>
                <w:b/>
                <w:bCs/>
                <w:color w:val="000000"/>
                <w:szCs w:val="21"/>
              </w:rPr>
            </w:pPr>
            <w:r>
              <w:rPr>
                <w:rFonts w:hint="eastAsia" w:eastAsiaTheme="minorEastAsia" w:cstheme="minorBidi"/>
                <w:b/>
                <w:bCs/>
                <w:szCs w:val="21"/>
              </w:rPr>
              <w:t>小计</w:t>
            </w:r>
          </w:p>
        </w:tc>
        <w:tc>
          <w:tcPr>
            <w:tcW w:w="2247" w:type="dxa"/>
            <w:shd w:val="clear" w:color="auto" w:fill="D9E2F3" w:themeFill="accent1" w:themeFillTint="33"/>
            <w:noWrap/>
            <w:vAlign w:val="top"/>
          </w:tcPr>
          <w:p>
            <w:pPr>
              <w:pStyle w:val="220"/>
              <w:spacing w:before="100"/>
              <w:rPr>
                <w:rFonts w:eastAsiaTheme="minorEastAsia" w:cstheme="minorBidi"/>
                <w:b/>
                <w:bCs/>
                <w:color w:val="000000"/>
                <w:szCs w:val="21"/>
              </w:rPr>
            </w:pPr>
            <w:r>
              <w:rPr>
                <w:rFonts w:hint="eastAsia" w:eastAsiaTheme="minorEastAsia" w:cstheme="minorBidi"/>
                <w:b/>
                <w:bCs/>
                <w:szCs w:val="21"/>
              </w:rPr>
              <w:t>207</w:t>
            </w:r>
          </w:p>
        </w:tc>
        <w:tc>
          <w:tcPr>
            <w:tcW w:w="2393" w:type="dxa"/>
            <w:shd w:val="clear" w:color="auto" w:fill="D9E2F3" w:themeFill="accent1" w:themeFillTint="33"/>
            <w:noWrap/>
            <w:vAlign w:val="top"/>
          </w:tcPr>
          <w:p>
            <w:pPr>
              <w:pStyle w:val="220"/>
              <w:spacing w:before="100"/>
              <w:rPr>
                <w:rFonts w:eastAsiaTheme="minorEastAsia" w:cstheme="minorBidi"/>
                <w:b/>
                <w:bCs/>
                <w:color w:val="000000"/>
                <w:szCs w:val="21"/>
              </w:rPr>
            </w:pPr>
            <w:r>
              <w:rPr>
                <w:rFonts w:hint="eastAsia" w:eastAsiaTheme="minorEastAsia" w:cstheme="minorBidi"/>
                <w:b/>
                <w:bCs/>
                <w:szCs w:val="21"/>
              </w:rPr>
              <w:t>4.05%</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restart"/>
            <w:shd w:val="clear" w:color="auto" w:fill="4472C4" w:themeFill="accent1"/>
            <w:vAlign w:val="center"/>
          </w:tcPr>
          <w:p>
            <w:pPr>
              <w:pStyle w:val="220"/>
              <w:spacing w:before="100"/>
              <w:rPr>
                <w:rFonts w:eastAsiaTheme="minorEastAsia" w:cstheme="minorBidi"/>
                <w:b/>
                <w:bCs w:val="0"/>
              </w:rPr>
            </w:pPr>
            <w:r>
              <w:rPr>
                <w:rFonts w:hint="eastAsia" w:eastAsiaTheme="minorEastAsia" w:cstheme="minorBidi"/>
                <w:b/>
                <w:bCs w:val="0"/>
                <w:color w:val="FFFFFF" w:themeColor="background1"/>
                <w14:textFill>
                  <w14:solidFill>
                    <w14:schemeClr w14:val="bg1"/>
                  </w14:solidFill>
                </w14:textFill>
              </w:rPr>
              <w:t>法学院</w:t>
            </w:r>
          </w:p>
        </w:tc>
        <w:tc>
          <w:tcPr>
            <w:tcW w:w="2539" w:type="dxa"/>
            <w:noWrap/>
            <w:vAlign w:val="top"/>
          </w:tcPr>
          <w:p>
            <w:pPr>
              <w:pStyle w:val="220"/>
              <w:spacing w:before="100"/>
              <w:rPr>
                <w:rFonts w:eastAsiaTheme="minorEastAsia" w:cstheme="minorBidi"/>
                <w:color w:val="000000"/>
                <w:szCs w:val="21"/>
              </w:rPr>
            </w:pPr>
            <w:r>
              <w:rPr>
                <w:rFonts w:hint="eastAsia" w:eastAsiaTheme="minorEastAsia" w:cstheme="minorBidi"/>
                <w:szCs w:val="21"/>
              </w:rPr>
              <w:t>法学</w:t>
            </w:r>
          </w:p>
        </w:tc>
        <w:tc>
          <w:tcPr>
            <w:tcW w:w="2247" w:type="dxa"/>
            <w:noWrap/>
            <w:vAlign w:val="top"/>
          </w:tcPr>
          <w:p>
            <w:pPr>
              <w:pStyle w:val="220"/>
              <w:spacing w:before="100"/>
              <w:rPr>
                <w:rFonts w:eastAsiaTheme="minorEastAsia" w:cstheme="minorBidi"/>
                <w:color w:val="000000"/>
                <w:szCs w:val="21"/>
              </w:rPr>
            </w:pPr>
            <w:r>
              <w:rPr>
                <w:rFonts w:hint="eastAsia" w:eastAsiaTheme="minorEastAsia" w:cstheme="minorBidi"/>
                <w:szCs w:val="21"/>
              </w:rPr>
              <w:t>110</w:t>
            </w:r>
          </w:p>
        </w:tc>
        <w:tc>
          <w:tcPr>
            <w:tcW w:w="2393" w:type="dxa"/>
            <w:noWrap/>
            <w:vAlign w:val="top"/>
          </w:tcPr>
          <w:p>
            <w:pPr>
              <w:pStyle w:val="220"/>
              <w:spacing w:before="100"/>
              <w:rPr>
                <w:rFonts w:eastAsiaTheme="minorEastAsia" w:cstheme="minorBidi"/>
                <w:color w:val="000000"/>
                <w:szCs w:val="21"/>
              </w:rPr>
            </w:pPr>
            <w:r>
              <w:rPr>
                <w:rFonts w:hint="eastAsia" w:eastAsiaTheme="minorEastAsia" w:cstheme="minorBidi"/>
                <w:szCs w:val="21"/>
              </w:rPr>
              <w:t>2.15%</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83" w:hRule="atLeast"/>
          <w:jc w:val="center"/>
        </w:trPr>
        <w:tc>
          <w:tcPr>
            <w:tcW w:w="2393" w:type="dxa"/>
            <w:vMerge w:val="continue"/>
            <w:shd w:val="clear" w:color="auto" w:fill="4472C4" w:themeFill="accent1"/>
            <w:vAlign w:val="center"/>
          </w:tcPr>
          <w:p>
            <w:pPr>
              <w:pStyle w:val="220"/>
              <w:spacing w:before="100"/>
              <w:rPr>
                <w:rFonts w:eastAsiaTheme="minorEastAsia" w:cstheme="minorBidi"/>
                <w:b w:val="0"/>
                <w:bCs/>
              </w:rPr>
            </w:pPr>
          </w:p>
        </w:tc>
        <w:tc>
          <w:tcPr>
            <w:tcW w:w="2539" w:type="dxa"/>
            <w:shd w:val="clear" w:color="auto" w:fill="D9E2F3" w:themeFill="accent1" w:themeFillTint="33"/>
            <w:noWrap/>
            <w:vAlign w:val="top"/>
          </w:tcPr>
          <w:p>
            <w:pPr>
              <w:pStyle w:val="220"/>
              <w:spacing w:before="100"/>
              <w:rPr>
                <w:rFonts w:eastAsiaTheme="minorEastAsia" w:cstheme="minorBidi"/>
                <w:b/>
                <w:bCs/>
                <w:color w:val="000000"/>
                <w:szCs w:val="21"/>
              </w:rPr>
            </w:pPr>
            <w:r>
              <w:rPr>
                <w:rFonts w:hint="eastAsia" w:eastAsiaTheme="minorEastAsia" w:cstheme="minorBidi"/>
                <w:b/>
                <w:bCs/>
                <w:szCs w:val="21"/>
              </w:rPr>
              <w:t>小计</w:t>
            </w:r>
          </w:p>
        </w:tc>
        <w:tc>
          <w:tcPr>
            <w:tcW w:w="2247" w:type="dxa"/>
            <w:shd w:val="clear" w:color="auto" w:fill="D9E2F3" w:themeFill="accent1" w:themeFillTint="33"/>
            <w:noWrap/>
            <w:vAlign w:val="top"/>
          </w:tcPr>
          <w:p>
            <w:pPr>
              <w:pStyle w:val="220"/>
              <w:spacing w:before="100"/>
              <w:rPr>
                <w:rFonts w:eastAsiaTheme="minorEastAsia" w:cstheme="minorBidi"/>
                <w:b/>
                <w:bCs/>
                <w:color w:val="000000"/>
                <w:szCs w:val="21"/>
              </w:rPr>
            </w:pPr>
            <w:r>
              <w:rPr>
                <w:rFonts w:hint="eastAsia" w:eastAsiaTheme="minorEastAsia" w:cstheme="minorBidi"/>
                <w:b/>
                <w:bCs/>
                <w:szCs w:val="21"/>
              </w:rPr>
              <w:t>110</w:t>
            </w:r>
          </w:p>
        </w:tc>
        <w:tc>
          <w:tcPr>
            <w:tcW w:w="2393" w:type="dxa"/>
            <w:shd w:val="clear" w:color="auto" w:fill="D9E2F3" w:themeFill="accent1" w:themeFillTint="33"/>
            <w:noWrap/>
            <w:vAlign w:val="top"/>
          </w:tcPr>
          <w:p>
            <w:pPr>
              <w:pStyle w:val="220"/>
              <w:spacing w:before="100"/>
              <w:rPr>
                <w:rFonts w:eastAsiaTheme="minorEastAsia" w:cstheme="minorBidi"/>
                <w:b/>
                <w:bCs/>
                <w:color w:val="000000"/>
                <w:szCs w:val="21"/>
              </w:rPr>
            </w:pPr>
            <w:r>
              <w:rPr>
                <w:rFonts w:hint="eastAsia" w:eastAsiaTheme="minorEastAsia" w:cstheme="minorBidi"/>
                <w:b/>
                <w:bCs/>
                <w:szCs w:val="21"/>
              </w:rPr>
              <w:t>2.15%</w:t>
            </w:r>
          </w:p>
        </w:tc>
      </w:tr>
      <w:bookmarkEnd w:id="50"/>
    </w:tbl>
    <w:p>
      <w:pPr>
        <w:pStyle w:val="132"/>
        <w:ind w:firstLine="360"/>
      </w:pPr>
      <w:r>
        <w:rPr>
          <w:rFonts w:hint="eastAsia"/>
        </w:rPr>
        <w:t>注：因四舍五入保留两位小数，各分项占比之和可能存在±</w:t>
      </w:r>
      <w:r>
        <w:t>0.01%</w:t>
      </w:r>
      <w:r>
        <w:rPr>
          <w:rFonts w:hint="eastAsia"/>
        </w:rPr>
        <w:t>的误差。</w:t>
      </w:r>
    </w:p>
    <w:p>
      <w:pPr>
        <w:pStyle w:val="132"/>
        <w:ind w:firstLine="360"/>
      </w:pPr>
      <w:r>
        <w:rPr>
          <w:rFonts w:hint="eastAsia"/>
        </w:rPr>
        <w:t>数据来源：安徽省教育厅就业系统。</w:t>
      </w:r>
    </w:p>
    <w:p>
      <w:pPr>
        <w:pStyle w:val="142"/>
        <w:rPr>
          <w:color w:val="4472C4" w:themeColor="accent1"/>
          <w14:textFill>
            <w14:solidFill>
              <w14:schemeClr w14:val="accent1"/>
            </w14:solidFill>
          </w14:textFill>
        </w:rPr>
      </w:pPr>
      <w:bookmarkStart w:id="51" w:name="_Toc27601811"/>
      <w:bookmarkStart w:id="52" w:name="_Toc520328893"/>
      <w:bookmarkStart w:id="53" w:name="_Toc487790053"/>
      <w:bookmarkStart w:id="54" w:name="_Toc487789872"/>
      <w:r>
        <w:rPr>
          <w:rFonts w:hint="eastAsia"/>
          <w:color w:val="4472C4" w:themeColor="accent1"/>
          <w14:textFill>
            <w14:solidFill>
              <w14:schemeClr w14:val="accent1"/>
            </w14:solidFill>
          </w14:textFill>
        </w:rPr>
        <w:t>二、就业</w:t>
      </w:r>
      <w:r>
        <w:rPr>
          <w:color w:val="4472C4" w:themeColor="accent1"/>
          <w14:textFill>
            <w14:solidFill>
              <w14:schemeClr w14:val="accent1"/>
            </w14:solidFill>
          </w14:textFill>
        </w:rPr>
        <w:t>率</w:t>
      </w:r>
      <w:r>
        <w:rPr>
          <w:rFonts w:hint="eastAsia"/>
          <w:color w:val="4472C4" w:themeColor="accent1"/>
          <w14:textFill>
            <w14:solidFill>
              <w14:schemeClr w14:val="accent1"/>
            </w14:solidFill>
          </w14:textFill>
        </w:rPr>
        <w:t>及</w:t>
      </w:r>
      <w:r>
        <w:rPr>
          <w:color w:val="4472C4" w:themeColor="accent1"/>
          <w14:textFill>
            <w14:solidFill>
              <w14:schemeClr w14:val="accent1"/>
            </w14:solidFill>
          </w14:textFill>
        </w:rPr>
        <w:t>毕业去向</w:t>
      </w:r>
      <w:bookmarkEnd w:id="51"/>
      <w:bookmarkEnd w:id="52"/>
    </w:p>
    <w:p>
      <w:pPr>
        <w:pStyle w:val="199"/>
        <w:spacing w:before="156" w:beforeLines="50" w:after="156" w:afterLines="50"/>
        <w:ind w:firstLine="480"/>
      </w:pPr>
      <w:r>
        <w:rPr>
          <w:rFonts w:hint="eastAsia"/>
        </w:rPr>
        <w:t>就业率是反映大学生就业情况和社会对学校毕业生需求程度的重要指标和参考依据，根据教育部发布的《教育部办公厅关于进一步加强和完善高校毕业生就业状况统计报告工作的通知》，高校毕业生的就业率的计算公式为：毕业生就业率</w:t>
      </w:r>
      <w:r>
        <w:t>=</w:t>
      </w:r>
      <w:r>
        <w:rPr>
          <w:rFonts w:hint="eastAsia"/>
        </w:rPr>
        <w:t>（已就业毕业生人数</w:t>
      </w:r>
      <w:r>
        <w:rPr>
          <w:rFonts w:asciiTheme="minorEastAsia" w:hAnsiTheme="minorEastAsia" w:eastAsiaTheme="minorEastAsia"/>
        </w:rPr>
        <w:t>÷</w:t>
      </w:r>
      <w:r>
        <w:rPr>
          <w:rFonts w:hint="eastAsia"/>
        </w:rPr>
        <w:t>毕业生总人数）</w:t>
      </w:r>
      <w:r>
        <w:rPr>
          <w:rFonts w:asciiTheme="minorEastAsia" w:hAnsiTheme="minorEastAsia" w:eastAsiaTheme="minorEastAsia"/>
        </w:rPr>
        <w:t>×</w:t>
      </w:r>
      <w:r>
        <w:t>100.00%</w:t>
      </w:r>
      <w:r>
        <w:rPr>
          <w:rFonts w:hint="eastAsia"/>
        </w:rPr>
        <w:t>。</w:t>
      </w:r>
    </w:p>
    <w:p>
      <w:pPr>
        <w:pStyle w:val="152"/>
        <w:rPr>
          <w:color w:val="4472C4" w:themeColor="accent1"/>
          <w14:textFill>
            <w14:solidFill>
              <w14:schemeClr w14:val="accent1"/>
            </w14:solidFill>
          </w14:textFill>
        </w:rPr>
      </w:pPr>
      <w:bookmarkStart w:id="55" w:name="_Toc27601812"/>
      <w:bookmarkStart w:id="56" w:name="_Toc487790051"/>
      <w:bookmarkStart w:id="57" w:name="_Toc487789870"/>
      <w:bookmarkStart w:id="58" w:name="_Toc520328894"/>
      <w:r>
        <w:rPr>
          <w:rFonts w:hint="eastAsia"/>
          <w:color w:val="4472C4" w:themeColor="accent1"/>
          <w14:textFill>
            <w14:solidFill>
              <w14:schemeClr w14:val="accent1"/>
            </w14:solidFill>
          </w14:textFill>
        </w:rPr>
        <w:t>（一）</w:t>
      </w:r>
      <w:r>
        <w:rPr>
          <w:color w:val="4472C4" w:themeColor="accent1"/>
          <w14:textFill>
            <w14:solidFill>
              <w14:schemeClr w14:val="accent1"/>
            </w14:solidFill>
          </w14:textFill>
        </w:rPr>
        <w:t>总体</w:t>
      </w:r>
      <w:r>
        <w:rPr>
          <w:rFonts w:hint="eastAsia"/>
          <w:color w:val="4472C4" w:themeColor="accent1"/>
          <w14:textFill>
            <w14:solidFill>
              <w14:schemeClr w14:val="accent1"/>
            </w14:solidFill>
          </w14:textFill>
        </w:rPr>
        <w:t>就业率及</w:t>
      </w:r>
      <w:r>
        <w:rPr>
          <w:color w:val="4472C4" w:themeColor="accent1"/>
          <w14:textFill>
            <w14:solidFill>
              <w14:schemeClr w14:val="accent1"/>
            </w14:solidFill>
          </w14:textFill>
        </w:rPr>
        <w:t>毕业去向</w:t>
      </w:r>
      <w:bookmarkEnd w:id="55"/>
      <w:bookmarkEnd w:id="56"/>
      <w:bookmarkEnd w:id="57"/>
      <w:bookmarkEnd w:id="58"/>
    </w:p>
    <w:p>
      <w:pPr>
        <w:pStyle w:val="199"/>
        <w:spacing w:before="156" w:beforeLines="50" w:after="156" w:afterLines="50"/>
        <w:ind w:firstLine="480"/>
        <w:rPr>
          <w:color w:val="auto"/>
        </w:rPr>
      </w:pPr>
      <w:r>
        <w:rPr>
          <w:rFonts w:hint="eastAsia"/>
        </w:rPr>
        <w:t>学校</w:t>
      </w:r>
      <w:r>
        <w:t>2019届</w:t>
      </w:r>
      <w:r>
        <w:rPr>
          <w:rFonts w:hint="eastAsia"/>
        </w:rPr>
        <w:t>毕业生就业率</w:t>
      </w:r>
      <w:r>
        <w:rPr>
          <w:rFonts w:hint="eastAsia"/>
          <w:color w:val="auto"/>
        </w:rPr>
        <w:t>为96.42%，基本实现充分就业。从具体毕业去向来看，“签就业协议形式就业”为毕业生主要去向选择，占比为57.91%；“其他录用形式就业”</w:t>
      </w:r>
      <w:r>
        <w:rPr>
          <w:color w:val="auto"/>
        </w:rPr>
        <w:t>次之，占比为</w:t>
      </w:r>
      <w:r>
        <w:rPr>
          <w:rFonts w:hint="eastAsia"/>
          <w:color w:val="auto"/>
        </w:rPr>
        <w:t>21.48</w:t>
      </w:r>
      <w:r>
        <w:rPr>
          <w:color w:val="auto"/>
        </w:rPr>
        <w:t>%</w:t>
      </w:r>
      <w:r>
        <w:rPr>
          <w:rFonts w:hint="eastAsia"/>
          <w:color w:val="auto"/>
        </w:rPr>
        <w:t>。</w:t>
      </w:r>
    </w:p>
    <w:p>
      <w:pPr>
        <w:pStyle w:val="203"/>
        <w:spacing w:before="0" w:beforeLines="0" w:after="0" w:afterLines="0"/>
      </w:pPr>
      <w:bookmarkStart w:id="59" w:name="_Toc27002293"/>
      <w:r>
        <w:rPr>
          <w:rFonts w:hint="eastAsia"/>
        </w:rPr>
        <w:t>表</w:t>
      </w:r>
      <w:r>
        <w:t xml:space="preserve">1- </w:t>
      </w:r>
      <w:r>
        <w:fldChar w:fldCharType="begin"/>
      </w:r>
      <w:r>
        <w:instrText xml:space="preserve"> SEQ </w:instrText>
      </w:r>
      <w:r>
        <w:rPr>
          <w:rFonts w:hint="eastAsia"/>
        </w:rPr>
        <w:instrText xml:space="preserve">表</w:instrText>
      </w:r>
      <w:r>
        <w:instrText xml:space="preserve">1- \* ARABIC </w:instrText>
      </w:r>
      <w:r>
        <w:fldChar w:fldCharType="separate"/>
      </w:r>
      <w:r>
        <w:t>2</w:t>
      </w:r>
      <w:r>
        <w:fldChar w:fldCharType="end"/>
      </w:r>
      <w:r>
        <w:t xml:space="preserve">  2019届</w:t>
      </w:r>
      <w:r>
        <w:rPr>
          <w:rFonts w:hint="eastAsia"/>
        </w:rPr>
        <w:t>毕业生毕业去向分布</w:t>
      </w:r>
      <w:bookmarkEnd w:id="59"/>
    </w:p>
    <w:tbl>
      <w:tblPr>
        <w:tblStyle w:val="212"/>
        <w:tblW w:w="5000" w:type="pct"/>
        <w:tblInd w:w="0" w:type="dxa"/>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Layout w:type="autofit"/>
        <w:tblCellMar>
          <w:top w:w="0" w:type="dxa"/>
          <w:left w:w="108" w:type="dxa"/>
          <w:bottom w:w="0" w:type="dxa"/>
          <w:right w:w="108" w:type="dxa"/>
        </w:tblCellMar>
      </w:tblPr>
      <w:tblGrid>
        <w:gridCol w:w="3621"/>
        <w:gridCol w:w="2631"/>
        <w:gridCol w:w="2752"/>
      </w:tblGrid>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68" w:hRule="atLeast"/>
          <w:tblHeader/>
        </w:trPr>
        <w:tc>
          <w:tcPr>
            <w:tcW w:w="2011" w:type="pct"/>
            <w:tcBorders>
              <w:top w:val="single" w:color="FFFFFF" w:themeColor="background1" w:sz="24" w:space="0"/>
              <w:left w:val="single" w:color="FFFFFF" w:themeColor="background1" w:sz="24" w:space="0"/>
              <w:bottom w:val="single" w:color="FFFFFF" w:themeColor="background1" w:sz="24" w:space="0"/>
              <w:right w:val="nil"/>
              <w:insideV w:val="nil"/>
            </w:tcBorders>
            <w:shd w:val="clear" w:color="auto" w:fill="4472C4" w:themeFill="accent1"/>
            <w:noWrap/>
            <w:vAlign w:val="center"/>
          </w:tcPr>
          <w:p>
            <w:pPr>
              <w:spacing w:before="0"/>
              <w:jc w:val="center"/>
              <w:rPr>
                <w:rFonts w:ascii="Times New Roman" w:hAnsi="Times New Roman" w:cs="Times New Roman" w:eastAsiaTheme="minorEastAsia"/>
                <w:b/>
                <w:bCs/>
                <w:color w:val="FFFFFF" w:themeColor="background1"/>
                <w:sz w:val="21"/>
                <w:szCs w:val="21"/>
                <w14:textFill>
                  <w14:solidFill>
                    <w14:schemeClr w14:val="bg1"/>
                  </w14:solidFill>
                </w14:textFill>
              </w:rPr>
            </w:pPr>
            <w:r>
              <w:rPr>
                <w:rFonts w:ascii="Times New Roman" w:hAnsi="Times New Roman" w:cs="Times New Roman" w:eastAsiaTheme="minorEastAsia"/>
                <w:b/>
                <w:bCs/>
                <w:color w:val="FFFFFF" w:themeColor="background1"/>
                <w:sz w:val="21"/>
                <w:szCs w:val="21"/>
                <w14:textFill>
                  <w14:solidFill>
                    <w14:schemeClr w14:val="bg1"/>
                  </w14:solidFill>
                </w14:textFill>
              </w:rPr>
              <w:t>毕业去向</w:t>
            </w:r>
          </w:p>
        </w:tc>
        <w:tc>
          <w:tcPr>
            <w:tcW w:w="1461" w:type="pct"/>
            <w:tcBorders>
              <w:top w:val="single" w:color="FFFFFF" w:themeColor="background1" w:sz="24" w:space="0"/>
              <w:left w:val="single" w:color="FFFFFF" w:themeColor="background1" w:sz="24" w:space="0"/>
              <w:bottom w:val="single" w:color="FFFFFF" w:themeColor="background1" w:sz="24" w:space="0"/>
              <w:right w:val="nil"/>
              <w:insideV w:val="nil"/>
            </w:tcBorders>
            <w:shd w:val="clear" w:color="auto" w:fill="4472C4" w:themeFill="accent1"/>
            <w:noWrap/>
            <w:vAlign w:val="center"/>
          </w:tcPr>
          <w:p>
            <w:pPr>
              <w:spacing w:before="0"/>
              <w:jc w:val="center"/>
              <w:rPr>
                <w:rFonts w:ascii="Times New Roman" w:hAnsi="Times New Roman" w:cs="Times New Roman" w:eastAsiaTheme="minorEastAsia"/>
                <w:b/>
                <w:bCs/>
                <w:color w:val="FFFFFF" w:themeColor="background1"/>
                <w:sz w:val="21"/>
                <w:szCs w:val="21"/>
                <w14:textFill>
                  <w14:solidFill>
                    <w14:schemeClr w14:val="bg1"/>
                  </w14:solidFill>
                </w14:textFill>
              </w:rPr>
            </w:pPr>
            <w:r>
              <w:rPr>
                <w:rFonts w:ascii="Times New Roman" w:hAnsi="Times New Roman" w:cs="Times New Roman" w:eastAsiaTheme="minorEastAsia"/>
                <w:b/>
                <w:bCs/>
                <w:color w:val="FFFFFF" w:themeColor="background1"/>
                <w:sz w:val="21"/>
                <w:szCs w:val="21"/>
                <w14:textFill>
                  <w14:solidFill>
                    <w14:schemeClr w14:val="bg1"/>
                  </w14:solidFill>
                </w14:textFill>
              </w:rPr>
              <w:t>人数</w:t>
            </w:r>
          </w:p>
        </w:tc>
        <w:tc>
          <w:tcPr>
            <w:tcW w:w="1528"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V w:val="nil"/>
            </w:tcBorders>
            <w:shd w:val="clear" w:color="auto" w:fill="4472C4" w:themeFill="accent1"/>
            <w:noWrap/>
            <w:vAlign w:val="center"/>
          </w:tcPr>
          <w:p>
            <w:pPr>
              <w:spacing w:before="0"/>
              <w:jc w:val="center"/>
              <w:rPr>
                <w:rFonts w:ascii="Times New Roman" w:hAnsi="Times New Roman" w:cs="Times New Roman" w:eastAsiaTheme="minorEastAsia"/>
                <w:b/>
                <w:bCs/>
                <w:color w:val="FFFFFF" w:themeColor="background1"/>
                <w:sz w:val="21"/>
                <w:szCs w:val="21"/>
                <w14:textFill>
                  <w14:solidFill>
                    <w14:schemeClr w14:val="bg1"/>
                  </w14:solidFill>
                </w14:textFill>
              </w:rPr>
            </w:pPr>
            <w:r>
              <w:rPr>
                <w:rFonts w:ascii="Times New Roman" w:hAnsi="Times New Roman" w:cs="Times New Roman" w:eastAsiaTheme="minorEastAsia"/>
                <w:b/>
                <w:bCs/>
                <w:color w:val="FFFFFF" w:themeColor="background1"/>
                <w:sz w:val="21"/>
                <w:szCs w:val="21"/>
                <w14:textFill>
                  <w14:solidFill>
                    <w14:schemeClr w14:val="bg1"/>
                  </w14:solidFill>
                </w14:textFill>
              </w:rPr>
              <w:t>比例</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trPr>
        <w:tc>
          <w:tcPr>
            <w:tcW w:w="2011"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top"/>
          </w:tcPr>
          <w:p>
            <w:pPr>
              <w:spacing w:before="0"/>
              <w:jc w:val="center"/>
              <w:textAlignment w:val="top"/>
              <w:rPr>
                <w:rFonts w:ascii="Times New Roman" w:hAnsi="Times New Roman" w:cs="Times New Roman" w:eastAsiaTheme="minorEastAsia"/>
                <w:b/>
                <w:bCs w:val="0"/>
                <w:color w:val="FFFFFF" w:themeColor="background1"/>
                <w:sz w:val="21"/>
                <w:szCs w:val="21"/>
                <w14:textFill>
                  <w14:solidFill>
                    <w14:schemeClr w14:val="bg1"/>
                  </w14:solidFill>
                </w14:textFill>
              </w:rPr>
            </w:pPr>
            <w:r>
              <w:rPr>
                <w:rFonts w:ascii="Times New Roman" w:hAnsi="Times New Roman" w:cs="Times New Roman" w:eastAsiaTheme="minorEastAsia"/>
                <w:b/>
                <w:bCs w:val="0"/>
                <w:color w:val="FFFFFF" w:themeColor="background1"/>
                <w:sz w:val="21"/>
                <w:szCs w:val="21"/>
                <w14:textFill>
                  <w14:solidFill>
                    <w14:schemeClr w14:val="bg1"/>
                  </w14:solidFill>
                </w14:textFill>
              </w:rPr>
              <w:t>签就业协议形式就业</w:t>
            </w:r>
          </w:p>
        </w:tc>
        <w:tc>
          <w:tcPr>
            <w:tcW w:w="1461"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noWrap/>
            <w:vAlign w:val="top"/>
          </w:tcPr>
          <w:p>
            <w:pPr>
              <w:spacing w:before="0"/>
              <w:jc w:val="center"/>
              <w:textAlignment w:val="bottom"/>
              <w:rPr>
                <w:rFonts w:ascii="Times New Roman" w:hAnsi="Times New Roman" w:cs="Times New Roman" w:eastAsiaTheme="minorEastAsia"/>
                <w:color w:val="000000"/>
                <w:sz w:val="21"/>
                <w:szCs w:val="21"/>
              </w:rPr>
            </w:pPr>
            <w:r>
              <w:rPr>
                <w:rFonts w:ascii="Times New Roman" w:hAnsi="Times New Roman" w:cs="Times New Roman" w:eastAsiaTheme="minorEastAsia"/>
                <w:sz w:val="21"/>
                <w:szCs w:val="21"/>
              </w:rPr>
              <w:t>2960</w:t>
            </w:r>
          </w:p>
        </w:tc>
        <w:tc>
          <w:tcPr>
            <w:tcW w:w="1528"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noWrap/>
            <w:vAlign w:val="top"/>
          </w:tcPr>
          <w:p>
            <w:pPr>
              <w:spacing w:before="0"/>
              <w:jc w:val="center"/>
              <w:textAlignment w:val="bottom"/>
              <w:rPr>
                <w:rFonts w:ascii="Times New Roman" w:hAnsi="Times New Roman" w:cs="Times New Roman" w:eastAsiaTheme="minorEastAsia"/>
                <w:color w:val="000000"/>
                <w:sz w:val="21"/>
                <w:szCs w:val="21"/>
              </w:rPr>
            </w:pPr>
            <w:r>
              <w:rPr>
                <w:rFonts w:ascii="Times New Roman" w:hAnsi="Times New Roman" w:cs="Times New Roman" w:eastAsiaTheme="minorEastAsia"/>
                <w:sz w:val="21"/>
                <w:szCs w:val="21"/>
              </w:rPr>
              <w:t>57.91%</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trPr>
        <w:tc>
          <w:tcPr>
            <w:tcW w:w="2011"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top"/>
          </w:tcPr>
          <w:p>
            <w:pPr>
              <w:spacing w:before="0"/>
              <w:jc w:val="center"/>
              <w:textAlignment w:val="top"/>
              <w:rPr>
                <w:rFonts w:ascii="Times New Roman" w:hAnsi="Times New Roman" w:cs="Times New Roman" w:eastAsiaTheme="minorEastAsia"/>
                <w:b/>
                <w:bCs w:val="0"/>
                <w:color w:val="FFFFFF" w:themeColor="background1"/>
                <w:sz w:val="21"/>
                <w:szCs w:val="21"/>
                <w14:textFill>
                  <w14:solidFill>
                    <w14:schemeClr w14:val="bg1"/>
                  </w14:solidFill>
                </w14:textFill>
              </w:rPr>
            </w:pPr>
            <w:r>
              <w:rPr>
                <w:rFonts w:ascii="Times New Roman" w:hAnsi="Times New Roman" w:cs="Times New Roman" w:eastAsiaTheme="minorEastAsia"/>
                <w:b/>
                <w:bCs w:val="0"/>
                <w:color w:val="FFFFFF" w:themeColor="background1"/>
                <w:sz w:val="21"/>
                <w:szCs w:val="21"/>
                <w14:textFill>
                  <w14:solidFill>
                    <w14:schemeClr w14:val="bg1"/>
                  </w14:solidFill>
                </w14:textFill>
              </w:rPr>
              <w:t>其他录用形式就业</w:t>
            </w:r>
          </w:p>
        </w:tc>
        <w:tc>
          <w:tcPr>
            <w:tcW w:w="1461"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top"/>
          </w:tcPr>
          <w:p>
            <w:pPr>
              <w:spacing w:before="0"/>
              <w:jc w:val="center"/>
              <w:textAlignment w:val="bottom"/>
              <w:rPr>
                <w:rFonts w:ascii="Times New Roman" w:hAnsi="Times New Roman" w:cs="Times New Roman" w:eastAsiaTheme="minorEastAsia"/>
                <w:color w:val="000000"/>
                <w:sz w:val="21"/>
                <w:szCs w:val="21"/>
              </w:rPr>
            </w:pPr>
            <w:r>
              <w:rPr>
                <w:rFonts w:ascii="Times New Roman" w:hAnsi="Times New Roman" w:cs="Times New Roman" w:eastAsiaTheme="minorEastAsia"/>
                <w:sz w:val="21"/>
                <w:szCs w:val="21"/>
              </w:rPr>
              <w:t>1098</w:t>
            </w:r>
          </w:p>
        </w:tc>
        <w:tc>
          <w:tcPr>
            <w:tcW w:w="1528"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top"/>
          </w:tcPr>
          <w:p>
            <w:pPr>
              <w:spacing w:before="0"/>
              <w:jc w:val="center"/>
              <w:textAlignment w:val="bottom"/>
              <w:rPr>
                <w:rFonts w:ascii="Times New Roman" w:hAnsi="Times New Roman" w:cs="Times New Roman" w:eastAsiaTheme="minorEastAsia"/>
                <w:color w:val="000000"/>
                <w:sz w:val="21"/>
                <w:szCs w:val="21"/>
              </w:rPr>
            </w:pPr>
            <w:r>
              <w:rPr>
                <w:rFonts w:ascii="Times New Roman" w:hAnsi="Times New Roman" w:cs="Times New Roman" w:eastAsiaTheme="minorEastAsia"/>
                <w:sz w:val="21"/>
                <w:szCs w:val="21"/>
              </w:rPr>
              <w:t>21.48%</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trPr>
        <w:tc>
          <w:tcPr>
            <w:tcW w:w="2011"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top"/>
          </w:tcPr>
          <w:p>
            <w:pPr>
              <w:spacing w:before="0"/>
              <w:jc w:val="center"/>
              <w:textAlignment w:val="top"/>
              <w:rPr>
                <w:rFonts w:ascii="Times New Roman" w:hAnsi="Times New Roman" w:cs="Times New Roman" w:eastAsiaTheme="minorEastAsia"/>
                <w:b/>
                <w:bCs w:val="0"/>
                <w:color w:val="FFFFFF" w:themeColor="background1"/>
                <w:sz w:val="21"/>
                <w:szCs w:val="21"/>
                <w14:textFill>
                  <w14:solidFill>
                    <w14:schemeClr w14:val="bg1"/>
                  </w14:solidFill>
                </w14:textFill>
              </w:rPr>
            </w:pPr>
            <w:r>
              <w:rPr>
                <w:rFonts w:ascii="Times New Roman" w:hAnsi="Times New Roman" w:cs="Times New Roman" w:eastAsiaTheme="minorEastAsia"/>
                <w:b/>
                <w:bCs w:val="0"/>
                <w:color w:val="FFFFFF" w:themeColor="background1"/>
                <w:sz w:val="21"/>
                <w:szCs w:val="21"/>
                <w14:textFill>
                  <w14:solidFill>
                    <w14:schemeClr w14:val="bg1"/>
                  </w14:solidFill>
                </w14:textFill>
              </w:rPr>
              <w:t>升学</w:t>
            </w:r>
          </w:p>
        </w:tc>
        <w:tc>
          <w:tcPr>
            <w:tcW w:w="1461"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top"/>
          </w:tcPr>
          <w:p>
            <w:pPr>
              <w:spacing w:before="0"/>
              <w:jc w:val="center"/>
              <w:textAlignment w:val="bottom"/>
              <w:rPr>
                <w:rFonts w:ascii="Times New Roman" w:hAnsi="Times New Roman" w:cs="Times New Roman" w:eastAsiaTheme="minorEastAsia"/>
                <w:color w:val="000000"/>
                <w:sz w:val="21"/>
                <w:szCs w:val="21"/>
              </w:rPr>
            </w:pPr>
            <w:r>
              <w:rPr>
                <w:rFonts w:ascii="Times New Roman" w:hAnsi="Times New Roman" w:cs="Times New Roman" w:eastAsiaTheme="minorEastAsia"/>
                <w:sz w:val="21"/>
                <w:szCs w:val="21"/>
              </w:rPr>
              <w:t>583</w:t>
            </w:r>
          </w:p>
        </w:tc>
        <w:tc>
          <w:tcPr>
            <w:tcW w:w="1528"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top"/>
          </w:tcPr>
          <w:p>
            <w:pPr>
              <w:spacing w:before="0"/>
              <w:jc w:val="center"/>
              <w:textAlignment w:val="bottom"/>
              <w:rPr>
                <w:rFonts w:ascii="Times New Roman" w:hAnsi="Times New Roman" w:cs="Times New Roman" w:eastAsiaTheme="minorEastAsia"/>
                <w:color w:val="000000"/>
                <w:sz w:val="21"/>
                <w:szCs w:val="21"/>
              </w:rPr>
            </w:pPr>
            <w:r>
              <w:rPr>
                <w:rFonts w:ascii="Times New Roman" w:hAnsi="Times New Roman" w:cs="Times New Roman" w:eastAsiaTheme="minorEastAsia"/>
                <w:sz w:val="21"/>
                <w:szCs w:val="21"/>
              </w:rPr>
              <w:t>11.41%</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trPr>
        <w:tc>
          <w:tcPr>
            <w:tcW w:w="2011"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top"/>
          </w:tcPr>
          <w:p>
            <w:pPr>
              <w:spacing w:before="0"/>
              <w:jc w:val="center"/>
              <w:textAlignment w:val="top"/>
              <w:rPr>
                <w:rFonts w:ascii="Times New Roman" w:hAnsi="Times New Roman" w:cs="Times New Roman" w:eastAsiaTheme="minorEastAsia"/>
                <w:b/>
                <w:bCs w:val="0"/>
                <w:color w:val="FFFFFF" w:themeColor="background1"/>
                <w:sz w:val="21"/>
                <w:szCs w:val="21"/>
                <w14:textFill>
                  <w14:solidFill>
                    <w14:schemeClr w14:val="bg1"/>
                  </w14:solidFill>
                </w14:textFill>
              </w:rPr>
            </w:pPr>
            <w:r>
              <w:rPr>
                <w:rFonts w:ascii="Times New Roman" w:hAnsi="Times New Roman" w:cs="Times New Roman" w:eastAsiaTheme="minorEastAsia"/>
                <w:b/>
                <w:bCs w:val="0"/>
                <w:color w:val="FFFFFF" w:themeColor="background1"/>
                <w:sz w:val="21"/>
                <w:szCs w:val="21"/>
                <w14:textFill>
                  <w14:solidFill>
                    <w14:schemeClr w14:val="bg1"/>
                  </w14:solidFill>
                </w14:textFill>
              </w:rPr>
              <w:t>签劳动合同形式就业</w:t>
            </w:r>
          </w:p>
        </w:tc>
        <w:tc>
          <w:tcPr>
            <w:tcW w:w="1461"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top"/>
          </w:tcPr>
          <w:p>
            <w:pPr>
              <w:spacing w:before="0"/>
              <w:jc w:val="center"/>
              <w:textAlignment w:val="bottom"/>
              <w:rPr>
                <w:rFonts w:ascii="Times New Roman" w:hAnsi="Times New Roman" w:cs="Times New Roman" w:eastAsiaTheme="minorEastAsia"/>
                <w:color w:val="000000"/>
                <w:sz w:val="21"/>
                <w:szCs w:val="21"/>
              </w:rPr>
            </w:pPr>
            <w:r>
              <w:rPr>
                <w:rFonts w:ascii="Times New Roman" w:hAnsi="Times New Roman" w:cs="Times New Roman" w:eastAsiaTheme="minorEastAsia"/>
                <w:sz w:val="21"/>
                <w:szCs w:val="21"/>
              </w:rPr>
              <w:t>234</w:t>
            </w:r>
          </w:p>
        </w:tc>
        <w:tc>
          <w:tcPr>
            <w:tcW w:w="1528"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top"/>
          </w:tcPr>
          <w:p>
            <w:pPr>
              <w:spacing w:before="0"/>
              <w:jc w:val="center"/>
              <w:textAlignment w:val="bottom"/>
              <w:rPr>
                <w:rFonts w:ascii="Times New Roman" w:hAnsi="Times New Roman" w:cs="Times New Roman" w:eastAsiaTheme="minorEastAsia"/>
                <w:color w:val="000000"/>
                <w:sz w:val="21"/>
                <w:szCs w:val="21"/>
              </w:rPr>
            </w:pPr>
            <w:r>
              <w:rPr>
                <w:rFonts w:ascii="Times New Roman" w:hAnsi="Times New Roman" w:cs="Times New Roman" w:eastAsiaTheme="minorEastAsia"/>
                <w:sz w:val="21"/>
                <w:szCs w:val="21"/>
              </w:rPr>
              <w:t>4.58%</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trPr>
        <w:tc>
          <w:tcPr>
            <w:tcW w:w="2011"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top"/>
          </w:tcPr>
          <w:p>
            <w:pPr>
              <w:spacing w:before="0"/>
              <w:jc w:val="center"/>
              <w:textAlignment w:val="top"/>
              <w:rPr>
                <w:rFonts w:ascii="Times New Roman" w:hAnsi="Times New Roman" w:cs="Times New Roman" w:eastAsiaTheme="minorEastAsia"/>
                <w:b/>
                <w:bCs w:val="0"/>
                <w:color w:val="FFFFFF" w:themeColor="background1"/>
                <w:sz w:val="21"/>
                <w:szCs w:val="21"/>
                <w14:textFill>
                  <w14:solidFill>
                    <w14:schemeClr w14:val="bg1"/>
                  </w14:solidFill>
                </w14:textFill>
              </w:rPr>
            </w:pPr>
            <w:r>
              <w:rPr>
                <w:rFonts w:ascii="Times New Roman" w:hAnsi="Times New Roman" w:cs="Times New Roman" w:eastAsiaTheme="minorEastAsia"/>
                <w:b/>
                <w:bCs w:val="0"/>
                <w:color w:val="FFFFFF" w:themeColor="background1"/>
                <w:sz w:val="21"/>
                <w:szCs w:val="21"/>
                <w14:textFill>
                  <w14:solidFill>
                    <w14:schemeClr w14:val="bg1"/>
                  </w14:solidFill>
                </w14:textFill>
              </w:rPr>
              <w:t>升学(非全日制)</w:t>
            </w:r>
          </w:p>
        </w:tc>
        <w:tc>
          <w:tcPr>
            <w:tcW w:w="1461"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noWrap/>
            <w:vAlign w:val="top"/>
          </w:tcPr>
          <w:p>
            <w:pPr>
              <w:spacing w:before="0"/>
              <w:jc w:val="center"/>
              <w:textAlignment w:val="bottom"/>
              <w:rPr>
                <w:rFonts w:ascii="Times New Roman" w:hAnsi="Times New Roman" w:cs="Times New Roman" w:eastAsiaTheme="minorEastAsia"/>
                <w:sz w:val="21"/>
                <w:szCs w:val="21"/>
              </w:rPr>
            </w:pPr>
            <w:r>
              <w:rPr>
                <w:rFonts w:ascii="Times New Roman" w:hAnsi="Times New Roman" w:cs="Times New Roman" w:eastAsiaTheme="minorEastAsia"/>
                <w:sz w:val="21"/>
                <w:szCs w:val="21"/>
              </w:rPr>
              <w:t>15</w:t>
            </w:r>
          </w:p>
        </w:tc>
        <w:tc>
          <w:tcPr>
            <w:tcW w:w="1528"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noWrap/>
            <w:vAlign w:val="top"/>
          </w:tcPr>
          <w:p>
            <w:pPr>
              <w:spacing w:before="0"/>
              <w:jc w:val="center"/>
              <w:textAlignment w:val="bottom"/>
              <w:rPr>
                <w:rFonts w:ascii="Times New Roman" w:hAnsi="Times New Roman" w:cs="Times New Roman" w:eastAsiaTheme="minorEastAsia"/>
                <w:sz w:val="21"/>
                <w:szCs w:val="21"/>
              </w:rPr>
            </w:pPr>
            <w:r>
              <w:rPr>
                <w:rFonts w:ascii="Times New Roman" w:hAnsi="Times New Roman" w:cs="Times New Roman" w:eastAsiaTheme="minorEastAsia"/>
                <w:sz w:val="21"/>
                <w:szCs w:val="21"/>
              </w:rPr>
              <w:t>0.29%</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trPr>
        <w:tc>
          <w:tcPr>
            <w:tcW w:w="2011"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top"/>
          </w:tcPr>
          <w:p>
            <w:pPr>
              <w:spacing w:before="0"/>
              <w:jc w:val="center"/>
              <w:textAlignment w:val="top"/>
              <w:rPr>
                <w:rFonts w:ascii="Times New Roman" w:hAnsi="Times New Roman" w:cs="Times New Roman" w:eastAsiaTheme="minorEastAsia"/>
                <w:b/>
                <w:bCs w:val="0"/>
                <w:color w:val="FFFFFF" w:themeColor="background1"/>
                <w:sz w:val="21"/>
                <w:szCs w:val="21"/>
                <w14:textFill>
                  <w14:solidFill>
                    <w14:schemeClr w14:val="bg1"/>
                  </w14:solidFill>
                </w14:textFill>
              </w:rPr>
            </w:pPr>
            <w:r>
              <w:rPr>
                <w:rFonts w:ascii="Times New Roman" w:hAnsi="Times New Roman" w:cs="Times New Roman" w:eastAsiaTheme="minorEastAsia"/>
                <w:b/>
                <w:bCs w:val="0"/>
                <w:color w:val="FFFFFF" w:themeColor="background1"/>
                <w:sz w:val="21"/>
                <w:szCs w:val="21"/>
                <w14:textFill>
                  <w14:solidFill>
                    <w14:schemeClr w14:val="bg1"/>
                  </w14:solidFill>
                </w14:textFill>
              </w:rPr>
              <w:t>自主创业</w:t>
            </w:r>
          </w:p>
        </w:tc>
        <w:tc>
          <w:tcPr>
            <w:tcW w:w="1461"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FFFFF" w:themeFill="background1"/>
            <w:noWrap/>
            <w:vAlign w:val="top"/>
          </w:tcPr>
          <w:p>
            <w:pPr>
              <w:spacing w:before="0"/>
              <w:jc w:val="center"/>
              <w:textAlignment w:val="bottom"/>
              <w:rPr>
                <w:rFonts w:ascii="Times New Roman" w:hAnsi="Times New Roman" w:cs="Times New Roman" w:eastAsiaTheme="minorEastAsia"/>
                <w:sz w:val="21"/>
                <w:szCs w:val="21"/>
              </w:rPr>
            </w:pPr>
            <w:r>
              <w:rPr>
                <w:rFonts w:ascii="Times New Roman" w:hAnsi="Times New Roman" w:cs="Times New Roman" w:eastAsiaTheme="minorEastAsia"/>
                <w:sz w:val="21"/>
                <w:szCs w:val="21"/>
              </w:rPr>
              <w:t>15</w:t>
            </w:r>
          </w:p>
        </w:tc>
        <w:tc>
          <w:tcPr>
            <w:tcW w:w="1528"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FFFFF" w:themeFill="background1"/>
            <w:noWrap/>
            <w:vAlign w:val="top"/>
          </w:tcPr>
          <w:p>
            <w:pPr>
              <w:spacing w:before="0"/>
              <w:jc w:val="center"/>
              <w:textAlignment w:val="bottom"/>
              <w:rPr>
                <w:rFonts w:ascii="Times New Roman" w:hAnsi="Times New Roman" w:cs="Times New Roman" w:eastAsiaTheme="minorEastAsia"/>
                <w:sz w:val="21"/>
                <w:szCs w:val="21"/>
              </w:rPr>
            </w:pPr>
            <w:r>
              <w:rPr>
                <w:rFonts w:ascii="Times New Roman" w:hAnsi="Times New Roman" w:cs="Times New Roman" w:eastAsiaTheme="minorEastAsia"/>
                <w:sz w:val="21"/>
                <w:szCs w:val="21"/>
              </w:rPr>
              <w:t>0.29%</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trPr>
        <w:tc>
          <w:tcPr>
            <w:tcW w:w="2011"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top"/>
          </w:tcPr>
          <w:p>
            <w:pPr>
              <w:spacing w:before="0"/>
              <w:jc w:val="center"/>
              <w:textAlignment w:val="top"/>
              <w:rPr>
                <w:rFonts w:ascii="Times New Roman" w:hAnsi="Times New Roman" w:cs="Times New Roman" w:eastAsiaTheme="minorEastAsia"/>
                <w:b/>
                <w:bCs w:val="0"/>
                <w:color w:val="FFFFFF" w:themeColor="background1"/>
                <w:sz w:val="21"/>
                <w:szCs w:val="21"/>
                <w:lang w:bidi="ar"/>
                <w14:textFill>
                  <w14:solidFill>
                    <w14:schemeClr w14:val="bg1"/>
                  </w14:solidFill>
                </w14:textFill>
              </w:rPr>
            </w:pPr>
            <w:r>
              <w:rPr>
                <w:rFonts w:ascii="Times New Roman" w:hAnsi="Times New Roman" w:cs="Times New Roman" w:eastAsiaTheme="minorEastAsia"/>
                <w:b/>
                <w:bCs w:val="0"/>
                <w:color w:val="FFFFFF" w:themeColor="background1"/>
                <w:sz w:val="21"/>
                <w:szCs w:val="21"/>
                <w14:textFill>
                  <w14:solidFill>
                    <w14:schemeClr w14:val="bg1"/>
                  </w14:solidFill>
                </w14:textFill>
              </w:rPr>
              <w:t>出国、出境</w:t>
            </w:r>
          </w:p>
        </w:tc>
        <w:tc>
          <w:tcPr>
            <w:tcW w:w="1461"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noWrap/>
            <w:vAlign w:val="top"/>
          </w:tcPr>
          <w:p>
            <w:pPr>
              <w:spacing w:before="0"/>
              <w:jc w:val="center"/>
              <w:textAlignment w:val="bottom"/>
              <w:rPr>
                <w:rFonts w:ascii="Times New Roman" w:hAnsi="Times New Roman" w:cs="Times New Roman" w:eastAsiaTheme="minorEastAsia"/>
                <w:color w:val="000000"/>
                <w:sz w:val="21"/>
                <w:szCs w:val="21"/>
                <w:lang w:bidi="ar"/>
              </w:rPr>
            </w:pPr>
            <w:r>
              <w:rPr>
                <w:rFonts w:ascii="Times New Roman" w:hAnsi="Times New Roman" w:cs="Times New Roman" w:eastAsiaTheme="minorEastAsia"/>
                <w:sz w:val="21"/>
                <w:szCs w:val="21"/>
              </w:rPr>
              <w:t>11</w:t>
            </w:r>
          </w:p>
        </w:tc>
        <w:tc>
          <w:tcPr>
            <w:tcW w:w="1528"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noWrap/>
            <w:vAlign w:val="top"/>
          </w:tcPr>
          <w:p>
            <w:pPr>
              <w:spacing w:before="0"/>
              <w:jc w:val="center"/>
              <w:textAlignment w:val="bottom"/>
              <w:rPr>
                <w:rFonts w:ascii="Times New Roman" w:hAnsi="Times New Roman" w:cs="Times New Roman" w:eastAsiaTheme="minorEastAsia"/>
                <w:color w:val="000000"/>
                <w:sz w:val="21"/>
                <w:szCs w:val="21"/>
                <w:lang w:bidi="ar"/>
              </w:rPr>
            </w:pPr>
            <w:r>
              <w:rPr>
                <w:rFonts w:ascii="Times New Roman" w:hAnsi="Times New Roman" w:cs="Times New Roman" w:eastAsiaTheme="minorEastAsia"/>
                <w:sz w:val="21"/>
                <w:szCs w:val="21"/>
              </w:rPr>
              <w:t>0.22%</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trPr>
        <w:tc>
          <w:tcPr>
            <w:tcW w:w="2011"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top"/>
          </w:tcPr>
          <w:p>
            <w:pPr>
              <w:spacing w:before="0"/>
              <w:jc w:val="center"/>
              <w:textAlignment w:val="top"/>
              <w:rPr>
                <w:rFonts w:ascii="Times New Roman" w:hAnsi="Times New Roman" w:cs="Times New Roman" w:eastAsiaTheme="minorEastAsia"/>
                <w:b/>
                <w:bCs w:val="0"/>
                <w:color w:val="FFFFFF" w:themeColor="background1"/>
                <w:sz w:val="21"/>
                <w:szCs w:val="21"/>
                <w:lang w:bidi="ar"/>
                <w14:textFill>
                  <w14:solidFill>
                    <w14:schemeClr w14:val="bg1"/>
                  </w14:solidFill>
                </w14:textFill>
              </w:rPr>
            </w:pPr>
            <w:r>
              <w:rPr>
                <w:rFonts w:ascii="Times New Roman" w:hAnsi="Times New Roman" w:cs="Times New Roman" w:eastAsiaTheme="minorEastAsia"/>
                <w:b/>
                <w:bCs w:val="0"/>
                <w:color w:val="FFFFFF" w:themeColor="background1"/>
                <w:sz w:val="21"/>
                <w:szCs w:val="21"/>
                <w14:textFill>
                  <w14:solidFill>
                    <w14:schemeClr w14:val="bg1"/>
                  </w14:solidFill>
                </w14:textFill>
              </w:rPr>
              <w:t>国家基层项目</w:t>
            </w:r>
          </w:p>
        </w:tc>
        <w:tc>
          <w:tcPr>
            <w:tcW w:w="1461"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FFFFF" w:themeFill="background1"/>
            <w:noWrap/>
            <w:vAlign w:val="top"/>
          </w:tcPr>
          <w:p>
            <w:pPr>
              <w:spacing w:before="0"/>
              <w:jc w:val="center"/>
              <w:textAlignment w:val="bottom"/>
              <w:rPr>
                <w:rFonts w:ascii="Times New Roman" w:hAnsi="Times New Roman" w:cs="Times New Roman" w:eastAsiaTheme="minorEastAsia"/>
                <w:color w:val="000000"/>
                <w:sz w:val="21"/>
                <w:szCs w:val="21"/>
                <w:lang w:bidi="ar"/>
              </w:rPr>
            </w:pPr>
            <w:r>
              <w:rPr>
                <w:rFonts w:ascii="Times New Roman" w:hAnsi="Times New Roman" w:cs="Times New Roman" w:eastAsiaTheme="minorEastAsia"/>
                <w:sz w:val="21"/>
                <w:szCs w:val="21"/>
              </w:rPr>
              <w:t>7</w:t>
            </w:r>
          </w:p>
        </w:tc>
        <w:tc>
          <w:tcPr>
            <w:tcW w:w="1528"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FFFFF" w:themeFill="background1"/>
            <w:noWrap/>
            <w:vAlign w:val="top"/>
          </w:tcPr>
          <w:p>
            <w:pPr>
              <w:spacing w:before="0"/>
              <w:jc w:val="center"/>
              <w:textAlignment w:val="bottom"/>
              <w:rPr>
                <w:rFonts w:ascii="Times New Roman" w:hAnsi="Times New Roman" w:cs="Times New Roman" w:eastAsiaTheme="minorEastAsia"/>
                <w:color w:val="000000"/>
                <w:sz w:val="21"/>
                <w:szCs w:val="21"/>
                <w:lang w:bidi="ar"/>
              </w:rPr>
            </w:pPr>
            <w:r>
              <w:rPr>
                <w:rFonts w:ascii="Times New Roman" w:hAnsi="Times New Roman" w:cs="Times New Roman" w:eastAsiaTheme="minorEastAsia"/>
                <w:sz w:val="21"/>
                <w:szCs w:val="21"/>
              </w:rPr>
              <w:t>0.14%</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trPr>
        <w:tc>
          <w:tcPr>
            <w:tcW w:w="2011"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top"/>
          </w:tcPr>
          <w:p>
            <w:pPr>
              <w:spacing w:before="0"/>
              <w:jc w:val="center"/>
              <w:textAlignment w:val="top"/>
              <w:rPr>
                <w:rFonts w:ascii="Times New Roman" w:hAnsi="Times New Roman" w:cs="Times New Roman" w:eastAsiaTheme="minorEastAsia"/>
                <w:b/>
                <w:bCs w:val="0"/>
                <w:color w:val="FFFFFF" w:themeColor="background1"/>
                <w:sz w:val="21"/>
                <w:szCs w:val="21"/>
                <w:lang w:bidi="ar"/>
                <w14:textFill>
                  <w14:solidFill>
                    <w14:schemeClr w14:val="bg1"/>
                  </w14:solidFill>
                </w14:textFill>
              </w:rPr>
            </w:pPr>
            <w:r>
              <w:rPr>
                <w:rFonts w:ascii="Times New Roman" w:hAnsi="Times New Roman" w:cs="Times New Roman" w:eastAsiaTheme="minorEastAsia"/>
                <w:b/>
                <w:bCs w:val="0"/>
                <w:color w:val="FFFFFF" w:themeColor="background1"/>
                <w:sz w:val="21"/>
                <w:szCs w:val="21"/>
                <w14:textFill>
                  <w14:solidFill>
                    <w14:schemeClr w14:val="bg1"/>
                  </w14:solidFill>
                </w14:textFill>
              </w:rPr>
              <w:t>应征义务兵</w:t>
            </w:r>
          </w:p>
        </w:tc>
        <w:tc>
          <w:tcPr>
            <w:tcW w:w="1461"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noWrap/>
            <w:vAlign w:val="top"/>
          </w:tcPr>
          <w:p>
            <w:pPr>
              <w:spacing w:before="0"/>
              <w:jc w:val="center"/>
              <w:textAlignment w:val="bottom"/>
              <w:rPr>
                <w:rFonts w:ascii="Times New Roman" w:hAnsi="Times New Roman" w:cs="Times New Roman" w:eastAsiaTheme="minorEastAsia"/>
                <w:color w:val="000000"/>
                <w:sz w:val="21"/>
                <w:szCs w:val="21"/>
                <w:lang w:bidi="ar"/>
              </w:rPr>
            </w:pPr>
            <w:r>
              <w:rPr>
                <w:rFonts w:ascii="Times New Roman" w:hAnsi="Times New Roman" w:cs="Times New Roman" w:eastAsiaTheme="minorEastAsia"/>
                <w:sz w:val="21"/>
                <w:szCs w:val="21"/>
              </w:rPr>
              <w:t>3</w:t>
            </w:r>
          </w:p>
        </w:tc>
        <w:tc>
          <w:tcPr>
            <w:tcW w:w="1528"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noWrap/>
            <w:vAlign w:val="top"/>
          </w:tcPr>
          <w:p>
            <w:pPr>
              <w:spacing w:before="0"/>
              <w:jc w:val="center"/>
              <w:textAlignment w:val="bottom"/>
              <w:rPr>
                <w:rFonts w:ascii="Times New Roman" w:hAnsi="Times New Roman" w:cs="Times New Roman" w:eastAsiaTheme="minorEastAsia"/>
                <w:color w:val="000000"/>
                <w:sz w:val="21"/>
                <w:szCs w:val="21"/>
                <w:lang w:bidi="ar"/>
              </w:rPr>
            </w:pPr>
            <w:r>
              <w:rPr>
                <w:rFonts w:ascii="Times New Roman" w:hAnsi="Times New Roman" w:cs="Times New Roman" w:eastAsiaTheme="minorEastAsia"/>
                <w:sz w:val="21"/>
                <w:szCs w:val="21"/>
              </w:rPr>
              <w:t>0.06%</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trPr>
        <w:tc>
          <w:tcPr>
            <w:tcW w:w="2011"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top"/>
          </w:tcPr>
          <w:p>
            <w:pPr>
              <w:spacing w:before="0"/>
              <w:jc w:val="center"/>
              <w:textAlignment w:val="top"/>
              <w:rPr>
                <w:rFonts w:ascii="Times New Roman" w:hAnsi="Times New Roman" w:cs="Times New Roman" w:eastAsiaTheme="minorEastAsia"/>
                <w:b/>
                <w:bCs w:val="0"/>
                <w:color w:val="FFFFFF" w:themeColor="background1"/>
                <w:sz w:val="21"/>
                <w:szCs w:val="21"/>
                <w14:textFill>
                  <w14:solidFill>
                    <w14:schemeClr w14:val="bg1"/>
                  </w14:solidFill>
                </w14:textFill>
              </w:rPr>
            </w:pPr>
            <w:r>
              <w:rPr>
                <w:rFonts w:ascii="Times New Roman" w:hAnsi="Times New Roman" w:cs="Times New Roman" w:eastAsiaTheme="minorEastAsia"/>
                <w:b/>
                <w:bCs w:val="0"/>
                <w:color w:val="FFFFFF" w:themeColor="background1"/>
                <w:sz w:val="21"/>
                <w:szCs w:val="21"/>
                <w14:textFill>
                  <w14:solidFill>
                    <w14:schemeClr w14:val="bg1"/>
                  </w14:solidFill>
                </w14:textFill>
              </w:rPr>
              <w:t>自由职业</w:t>
            </w:r>
          </w:p>
        </w:tc>
        <w:tc>
          <w:tcPr>
            <w:tcW w:w="1461"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FFFFF" w:themeFill="background1"/>
            <w:noWrap/>
            <w:vAlign w:val="top"/>
          </w:tcPr>
          <w:p>
            <w:pPr>
              <w:spacing w:before="0"/>
              <w:jc w:val="center"/>
              <w:textAlignment w:val="bottom"/>
              <w:rPr>
                <w:rFonts w:ascii="Times New Roman" w:hAnsi="Times New Roman" w:cs="Times New Roman" w:eastAsiaTheme="minorEastAsia"/>
                <w:sz w:val="21"/>
                <w:szCs w:val="21"/>
              </w:rPr>
            </w:pPr>
            <w:r>
              <w:rPr>
                <w:rFonts w:ascii="Times New Roman" w:hAnsi="Times New Roman" w:cs="Times New Roman" w:eastAsiaTheme="minorEastAsia"/>
                <w:sz w:val="21"/>
                <w:szCs w:val="21"/>
              </w:rPr>
              <w:t>2</w:t>
            </w:r>
          </w:p>
        </w:tc>
        <w:tc>
          <w:tcPr>
            <w:tcW w:w="1528"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FFFFF" w:themeFill="background1"/>
            <w:noWrap/>
            <w:vAlign w:val="top"/>
          </w:tcPr>
          <w:p>
            <w:pPr>
              <w:spacing w:before="0"/>
              <w:jc w:val="center"/>
              <w:textAlignment w:val="bottom"/>
              <w:rPr>
                <w:rFonts w:ascii="Times New Roman" w:hAnsi="Times New Roman" w:cs="Times New Roman" w:eastAsiaTheme="minorEastAsia"/>
                <w:sz w:val="21"/>
                <w:szCs w:val="21"/>
              </w:rPr>
            </w:pPr>
            <w:r>
              <w:rPr>
                <w:rFonts w:ascii="Times New Roman" w:hAnsi="Times New Roman" w:cs="Times New Roman" w:eastAsiaTheme="minorEastAsia"/>
                <w:sz w:val="21"/>
                <w:szCs w:val="21"/>
              </w:rPr>
              <w:t>0.04%</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36" w:hRule="atLeast"/>
        </w:trPr>
        <w:tc>
          <w:tcPr>
            <w:tcW w:w="2011"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top"/>
          </w:tcPr>
          <w:p>
            <w:pPr>
              <w:spacing w:before="0"/>
              <w:jc w:val="center"/>
              <w:textAlignment w:val="top"/>
              <w:rPr>
                <w:rFonts w:ascii="Times New Roman" w:hAnsi="Times New Roman" w:cs="Times New Roman" w:eastAsiaTheme="minorEastAsia"/>
                <w:b/>
                <w:bCs w:val="0"/>
                <w:color w:val="FFFFFF" w:themeColor="background1"/>
                <w:sz w:val="21"/>
                <w:szCs w:val="21"/>
                <w14:textFill>
                  <w14:solidFill>
                    <w14:schemeClr w14:val="bg1"/>
                  </w14:solidFill>
                </w14:textFill>
              </w:rPr>
            </w:pPr>
            <w:r>
              <w:rPr>
                <w:rFonts w:ascii="Times New Roman" w:hAnsi="Times New Roman" w:cs="Times New Roman" w:eastAsiaTheme="minorEastAsia"/>
                <w:b/>
                <w:bCs w:val="0"/>
                <w:color w:val="FFFFFF" w:themeColor="background1"/>
                <w:sz w:val="21"/>
                <w:szCs w:val="21"/>
                <w14:textFill>
                  <w14:solidFill>
                    <w14:schemeClr w14:val="bg1"/>
                  </w14:solidFill>
                </w14:textFill>
              </w:rPr>
              <w:t>待就业</w:t>
            </w:r>
          </w:p>
        </w:tc>
        <w:tc>
          <w:tcPr>
            <w:tcW w:w="1461"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noWrap/>
            <w:vAlign w:val="top"/>
          </w:tcPr>
          <w:p>
            <w:pPr>
              <w:spacing w:before="0"/>
              <w:jc w:val="center"/>
              <w:textAlignment w:val="bottom"/>
              <w:rPr>
                <w:rFonts w:ascii="Times New Roman" w:hAnsi="Times New Roman" w:cs="Times New Roman" w:eastAsiaTheme="minorEastAsia"/>
                <w:color w:val="000000"/>
                <w:sz w:val="21"/>
                <w:szCs w:val="21"/>
              </w:rPr>
            </w:pPr>
            <w:r>
              <w:rPr>
                <w:rFonts w:ascii="Times New Roman" w:hAnsi="Times New Roman" w:cs="Times New Roman" w:eastAsiaTheme="minorEastAsia"/>
                <w:sz w:val="21"/>
                <w:szCs w:val="21"/>
              </w:rPr>
              <w:t>168</w:t>
            </w:r>
          </w:p>
        </w:tc>
        <w:tc>
          <w:tcPr>
            <w:tcW w:w="1528"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noWrap/>
            <w:vAlign w:val="top"/>
          </w:tcPr>
          <w:p>
            <w:pPr>
              <w:spacing w:before="0"/>
              <w:jc w:val="center"/>
              <w:textAlignment w:val="bottom"/>
              <w:rPr>
                <w:rFonts w:ascii="Times New Roman" w:hAnsi="Times New Roman" w:cs="Times New Roman" w:eastAsiaTheme="minorEastAsia"/>
                <w:color w:val="000000"/>
                <w:sz w:val="21"/>
                <w:szCs w:val="21"/>
              </w:rPr>
            </w:pPr>
            <w:r>
              <w:rPr>
                <w:rFonts w:ascii="Times New Roman" w:hAnsi="Times New Roman" w:cs="Times New Roman" w:eastAsiaTheme="minorEastAsia"/>
                <w:sz w:val="21"/>
                <w:szCs w:val="21"/>
              </w:rPr>
              <w:t>3.29%</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trPr>
        <w:tc>
          <w:tcPr>
            <w:tcW w:w="2011"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top"/>
          </w:tcPr>
          <w:p>
            <w:pPr>
              <w:spacing w:before="0"/>
              <w:jc w:val="center"/>
              <w:textAlignment w:val="top"/>
              <w:rPr>
                <w:rFonts w:ascii="Times New Roman" w:hAnsi="Times New Roman" w:cs="Times New Roman" w:eastAsiaTheme="minorEastAsia"/>
                <w:b/>
                <w:bCs w:val="0"/>
                <w:color w:val="FFFFFF" w:themeColor="background1"/>
                <w:sz w:val="21"/>
                <w:szCs w:val="21"/>
                <w:lang w:bidi="ar"/>
                <w14:textFill>
                  <w14:solidFill>
                    <w14:schemeClr w14:val="bg1"/>
                  </w14:solidFill>
                </w14:textFill>
              </w:rPr>
            </w:pPr>
            <w:r>
              <w:rPr>
                <w:rFonts w:ascii="Times New Roman" w:hAnsi="Times New Roman" w:cs="Times New Roman" w:eastAsiaTheme="minorEastAsia"/>
                <w:b/>
                <w:bCs w:val="0"/>
                <w:color w:val="FFFFFF" w:themeColor="background1"/>
                <w:sz w:val="21"/>
                <w:szCs w:val="21"/>
                <w14:textFill>
                  <w14:solidFill>
                    <w14:schemeClr w14:val="bg1"/>
                  </w14:solidFill>
                </w14:textFill>
              </w:rPr>
              <w:t>不就业拟升学</w:t>
            </w:r>
          </w:p>
        </w:tc>
        <w:tc>
          <w:tcPr>
            <w:tcW w:w="1461"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FFFFF" w:themeFill="background1"/>
            <w:noWrap/>
            <w:vAlign w:val="top"/>
          </w:tcPr>
          <w:p>
            <w:pPr>
              <w:spacing w:before="0"/>
              <w:jc w:val="center"/>
              <w:textAlignment w:val="bottom"/>
              <w:rPr>
                <w:rFonts w:ascii="Times New Roman" w:hAnsi="Times New Roman" w:cs="Times New Roman" w:eastAsiaTheme="minorEastAsia"/>
                <w:sz w:val="21"/>
                <w:szCs w:val="21"/>
              </w:rPr>
            </w:pPr>
            <w:r>
              <w:rPr>
                <w:rFonts w:ascii="Times New Roman" w:hAnsi="Times New Roman" w:cs="Times New Roman" w:eastAsiaTheme="minorEastAsia"/>
                <w:sz w:val="21"/>
                <w:szCs w:val="21"/>
              </w:rPr>
              <w:t>8</w:t>
            </w:r>
          </w:p>
        </w:tc>
        <w:tc>
          <w:tcPr>
            <w:tcW w:w="1528"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FFFFF" w:themeFill="background1"/>
            <w:noWrap/>
            <w:vAlign w:val="top"/>
          </w:tcPr>
          <w:p>
            <w:pPr>
              <w:spacing w:before="0"/>
              <w:jc w:val="center"/>
              <w:textAlignment w:val="bottom"/>
              <w:rPr>
                <w:rFonts w:ascii="Times New Roman" w:hAnsi="Times New Roman" w:cs="Times New Roman" w:eastAsiaTheme="minorEastAsia"/>
                <w:sz w:val="21"/>
                <w:szCs w:val="21"/>
              </w:rPr>
            </w:pPr>
            <w:r>
              <w:rPr>
                <w:rFonts w:ascii="Times New Roman" w:hAnsi="Times New Roman" w:cs="Times New Roman" w:eastAsiaTheme="minorEastAsia"/>
                <w:sz w:val="21"/>
                <w:szCs w:val="21"/>
              </w:rPr>
              <w:t>0.16%</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trPr>
        <w:tc>
          <w:tcPr>
            <w:tcW w:w="2011"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top"/>
          </w:tcPr>
          <w:p>
            <w:pPr>
              <w:spacing w:before="0"/>
              <w:jc w:val="center"/>
              <w:textAlignment w:val="top"/>
              <w:rPr>
                <w:rFonts w:ascii="Times New Roman" w:hAnsi="Times New Roman" w:cs="Times New Roman" w:eastAsiaTheme="minorEastAsia"/>
                <w:b/>
                <w:bCs w:val="0"/>
                <w:color w:val="FFFFFF" w:themeColor="background1"/>
                <w:sz w:val="21"/>
                <w:szCs w:val="21"/>
                <w14:textFill>
                  <w14:solidFill>
                    <w14:schemeClr w14:val="bg1"/>
                  </w14:solidFill>
                </w14:textFill>
              </w:rPr>
            </w:pPr>
            <w:r>
              <w:rPr>
                <w:rFonts w:ascii="Times New Roman" w:hAnsi="Times New Roman" w:cs="Times New Roman" w:eastAsiaTheme="minorEastAsia"/>
                <w:b/>
                <w:bCs w:val="0"/>
                <w:color w:val="FFFFFF" w:themeColor="background1"/>
                <w:sz w:val="21"/>
                <w:szCs w:val="21"/>
                <w14:textFill>
                  <w14:solidFill>
                    <w14:schemeClr w14:val="bg1"/>
                  </w14:solidFill>
                </w14:textFill>
              </w:rPr>
              <w:t>其他暂不就业</w:t>
            </w:r>
          </w:p>
        </w:tc>
        <w:tc>
          <w:tcPr>
            <w:tcW w:w="1461"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noWrap/>
            <w:vAlign w:val="bottom"/>
          </w:tcPr>
          <w:p>
            <w:pPr>
              <w:spacing w:before="0"/>
              <w:jc w:val="center"/>
              <w:textAlignment w:val="bottom"/>
              <w:rPr>
                <w:rFonts w:ascii="Times New Roman" w:hAnsi="Times New Roman" w:cs="Times New Roman" w:eastAsiaTheme="minorEastAsia"/>
                <w:sz w:val="21"/>
                <w:szCs w:val="21"/>
              </w:rPr>
            </w:pPr>
            <w:r>
              <w:rPr>
                <w:rFonts w:ascii="Times New Roman" w:hAnsi="Times New Roman" w:cs="Times New Roman" w:eastAsiaTheme="minorEastAsia"/>
                <w:color w:val="000000"/>
                <w:sz w:val="21"/>
                <w:szCs w:val="21"/>
              </w:rPr>
              <w:t>7</w:t>
            </w:r>
          </w:p>
        </w:tc>
        <w:tc>
          <w:tcPr>
            <w:tcW w:w="1528"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noWrap/>
            <w:vAlign w:val="bottom"/>
          </w:tcPr>
          <w:p>
            <w:pPr>
              <w:spacing w:before="0"/>
              <w:jc w:val="center"/>
              <w:textAlignment w:val="bottom"/>
              <w:rPr>
                <w:rFonts w:ascii="Times New Roman" w:hAnsi="Times New Roman" w:cs="Times New Roman" w:eastAsiaTheme="minorEastAsia"/>
                <w:sz w:val="21"/>
                <w:szCs w:val="21"/>
              </w:rPr>
            </w:pPr>
            <w:r>
              <w:rPr>
                <w:rFonts w:ascii="Times New Roman" w:hAnsi="Times New Roman" w:cs="Times New Roman" w:eastAsiaTheme="minorEastAsia"/>
                <w:color w:val="000000"/>
                <w:sz w:val="21"/>
                <w:szCs w:val="21"/>
              </w:rPr>
              <w:t>0.14%</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trPr>
        <w:tc>
          <w:tcPr>
            <w:tcW w:w="2011"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top"/>
          </w:tcPr>
          <w:p>
            <w:pPr>
              <w:spacing w:before="0"/>
              <w:jc w:val="center"/>
              <w:textAlignment w:val="top"/>
              <w:rPr>
                <w:rFonts w:ascii="Times New Roman" w:hAnsi="Times New Roman" w:cs="Times New Roman" w:eastAsiaTheme="minorEastAsia"/>
                <w:b/>
                <w:bCs/>
                <w:color w:val="FFFFFF" w:themeColor="background1"/>
                <w:sz w:val="21"/>
                <w:szCs w:val="21"/>
                <w14:textFill>
                  <w14:solidFill>
                    <w14:schemeClr w14:val="bg1"/>
                  </w14:solidFill>
                </w14:textFill>
              </w:rPr>
            </w:pPr>
            <w:r>
              <w:rPr>
                <w:rFonts w:ascii="Times New Roman" w:hAnsi="Times New Roman" w:cs="Times New Roman" w:eastAsiaTheme="minorEastAsia"/>
                <w:b/>
                <w:bCs/>
                <w:color w:val="FFFFFF" w:themeColor="background1"/>
                <w:sz w:val="21"/>
                <w:szCs w:val="21"/>
                <w:lang w:bidi="ar"/>
                <w14:textFill>
                  <w14:solidFill>
                    <w14:schemeClr w14:val="bg1"/>
                  </w14:solidFill>
                </w14:textFill>
              </w:rPr>
              <w:t>就业率</w:t>
            </w:r>
          </w:p>
        </w:tc>
        <w:tc>
          <w:tcPr>
            <w:tcW w:w="2989" w:type="pct"/>
            <w:gridSpan w:val="2"/>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FFFFFF" w:themeFill="background1"/>
            <w:noWrap/>
            <w:vAlign w:val="center"/>
          </w:tcPr>
          <w:p>
            <w:pPr>
              <w:spacing w:before="0"/>
              <w:jc w:val="center"/>
              <w:textAlignment w:val="bottom"/>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96.42%</w:t>
            </w:r>
          </w:p>
        </w:tc>
      </w:tr>
    </w:tbl>
    <w:p>
      <w:pPr>
        <w:pStyle w:val="132"/>
        <w:ind w:firstLine="360"/>
      </w:pPr>
      <w:r>
        <w:rPr>
          <w:rFonts w:hint="eastAsia"/>
        </w:rPr>
        <w:t>注</w:t>
      </w:r>
      <w:r>
        <w:t>：就业率=(</w:t>
      </w:r>
      <w:r>
        <w:rPr>
          <w:rFonts w:hint="eastAsia"/>
        </w:rPr>
        <w:t>签就业</w:t>
      </w:r>
      <w:r>
        <w:t>协议形式就业</w:t>
      </w:r>
      <w:r>
        <w:rPr>
          <w:rFonts w:hint="eastAsia"/>
        </w:rPr>
        <w:t>人数</w:t>
      </w:r>
      <w:r>
        <w:t>+</w:t>
      </w:r>
      <w:r>
        <w:rPr>
          <w:rFonts w:hint="eastAsia"/>
        </w:rPr>
        <w:t>其他</w:t>
      </w:r>
      <w:r>
        <w:t>录用形式就业人数</w:t>
      </w:r>
      <w:r>
        <w:rPr>
          <w:rFonts w:hint="eastAsia"/>
        </w:rPr>
        <w:t>+升学人数</w:t>
      </w:r>
      <w:r>
        <w:t>+</w:t>
      </w:r>
      <w:r>
        <w:rPr>
          <w:rFonts w:hint="eastAsia"/>
        </w:rPr>
        <w:t>签劳动合同形式就业人数</w:t>
      </w:r>
      <w:r>
        <w:t>+</w:t>
      </w:r>
      <w:r>
        <w:rPr>
          <w:rFonts w:hint="eastAsia"/>
        </w:rPr>
        <w:t>自主创业</w:t>
      </w:r>
      <w:r>
        <w:t>人数+</w:t>
      </w:r>
      <w:r>
        <w:rPr>
          <w:rFonts w:hint="eastAsia"/>
        </w:rPr>
        <w:t>出国、出境人数+国家基层项目人数+应征义务兵人数+自由职业人数</w:t>
      </w:r>
      <w:r>
        <w:t>)÷</w:t>
      </w:r>
      <w:r>
        <w:rPr>
          <w:rFonts w:hint="eastAsia"/>
        </w:rPr>
        <w:t>毕业生</w:t>
      </w:r>
      <w:r>
        <w:t>总人数×100.00%</w:t>
      </w:r>
      <w:r>
        <w:rPr>
          <w:rFonts w:hint="eastAsia"/>
        </w:rPr>
        <w:t>。</w:t>
      </w:r>
    </w:p>
    <w:p>
      <w:pPr>
        <w:pStyle w:val="132"/>
        <w:ind w:firstLine="360"/>
      </w:pPr>
      <w:r>
        <w:rPr>
          <w:rFonts w:hint="eastAsia"/>
        </w:rPr>
        <w:t>数据来源：安徽省教育厅就业系统。</w:t>
      </w:r>
    </w:p>
    <w:p>
      <w:pPr>
        <w:pStyle w:val="152"/>
        <w:rPr>
          <w:color w:val="4472C4" w:themeColor="accent1"/>
          <w14:textFill>
            <w14:solidFill>
              <w14:schemeClr w14:val="accent1"/>
            </w14:solidFill>
          </w14:textFill>
        </w:rPr>
      </w:pPr>
      <w:bookmarkStart w:id="60" w:name="_Toc27601813"/>
      <w:bookmarkStart w:id="61" w:name="_Toc520328895"/>
      <w:bookmarkStart w:id="62" w:name="_Toc427050508"/>
      <w:bookmarkStart w:id="63" w:name="_Toc487789871"/>
      <w:bookmarkStart w:id="64" w:name="_Toc487790052"/>
      <w:r>
        <w:rPr>
          <w:rFonts w:hint="eastAsia"/>
          <w:color w:val="4472C4" w:themeColor="accent1"/>
          <w14:textFill>
            <w14:solidFill>
              <w14:schemeClr w14:val="accent1"/>
            </w14:solidFill>
          </w14:textFill>
        </w:rPr>
        <w:t>（二</w:t>
      </w:r>
      <w:r>
        <w:rPr>
          <w:color w:val="4472C4" w:themeColor="accent1"/>
          <w14:textFill>
            <w14:solidFill>
              <w14:schemeClr w14:val="accent1"/>
            </w14:solidFill>
          </w14:textFill>
        </w:rPr>
        <w:t>）</w:t>
      </w:r>
      <w:r>
        <w:rPr>
          <w:rFonts w:hint="eastAsia"/>
          <w:color w:val="4472C4" w:themeColor="accent1"/>
          <w14:textFill>
            <w14:solidFill>
              <w14:schemeClr w14:val="accent1"/>
            </w14:solidFill>
          </w14:textFill>
        </w:rPr>
        <w:t>各学院</w:t>
      </w:r>
      <w:r>
        <w:rPr>
          <w:color w:val="4472C4" w:themeColor="accent1"/>
          <w14:textFill>
            <w14:solidFill>
              <w14:schemeClr w14:val="accent1"/>
            </w14:solidFill>
          </w14:textFill>
        </w:rPr>
        <w:t>的就业率</w:t>
      </w:r>
      <w:bookmarkEnd w:id="60"/>
      <w:bookmarkEnd w:id="61"/>
    </w:p>
    <w:bookmarkEnd w:id="62"/>
    <w:bookmarkEnd w:id="63"/>
    <w:bookmarkEnd w:id="64"/>
    <w:p>
      <w:pPr>
        <w:pStyle w:val="199"/>
        <w:spacing w:before="156" w:beforeLines="50" w:after="156" w:afterLines="50"/>
        <w:ind w:firstLine="480"/>
      </w:pPr>
      <w:r>
        <w:rPr>
          <w:rFonts w:hint="eastAsia"/>
        </w:rPr>
        <w:t>2019届</w:t>
      </w:r>
      <w:r>
        <w:t>毕业生分布在</w:t>
      </w:r>
      <w:r>
        <w:rPr>
          <w:rFonts w:hint="eastAsia"/>
        </w:rPr>
        <w:t>14个学院</w:t>
      </w:r>
      <w:r>
        <w:t>，</w:t>
      </w:r>
      <w:r>
        <w:rPr>
          <w:rFonts w:hint="eastAsia"/>
        </w:rPr>
        <w:t>各学院就业率均在85</w:t>
      </w:r>
      <w:r>
        <w:t>.00%</w:t>
      </w:r>
      <w:r>
        <w:rPr>
          <w:rFonts w:hint="eastAsia"/>
        </w:rPr>
        <w:t>以上。其中体育学院毕业生的就业率最高，达到99.52</w:t>
      </w:r>
      <w:r>
        <w:t>%</w:t>
      </w:r>
      <w:r>
        <w:rPr>
          <w:rFonts w:hint="eastAsia"/>
        </w:rPr>
        <w:t>；其次为机械与车辆工程学院（98.74%</w:t>
      </w:r>
      <w:r>
        <w:t>）</w:t>
      </w:r>
      <w:r>
        <w:rPr>
          <w:rFonts w:hint="eastAsia"/>
        </w:rPr>
        <w:t>和材料与化工学院（98.72%</w:t>
      </w:r>
      <w:r>
        <w:t>）</w:t>
      </w:r>
      <w:r>
        <w:rPr>
          <w:rFonts w:hint="eastAsia"/>
        </w:rPr>
        <w:t>。</w:t>
      </w:r>
    </w:p>
    <w:p>
      <w:pPr>
        <w:pStyle w:val="136"/>
        <w:spacing w:line="240" w:lineRule="auto"/>
        <w:ind w:firstLine="0" w:firstLineChars="0"/>
        <w:jc w:val="center"/>
      </w:pPr>
      <w:r>
        <w:rPr>
          <w:b/>
        </w:rPr>
        <w:drawing>
          <wp:inline distT="0" distB="0" distL="0" distR="0">
            <wp:extent cx="5399405" cy="4499610"/>
            <wp:effectExtent l="0" t="0" r="0" b="0"/>
            <wp:docPr id="479"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pStyle w:val="203"/>
        <w:spacing w:before="0" w:beforeLines="0" w:after="0" w:afterLines="0"/>
      </w:pPr>
      <w:bookmarkStart w:id="65" w:name="_Toc27002294"/>
      <w:r>
        <w:rPr>
          <w:rFonts w:hint="eastAsia"/>
        </w:rPr>
        <w:t xml:space="preserve">图1- </w:t>
      </w:r>
      <w:r>
        <w:fldChar w:fldCharType="begin"/>
      </w:r>
      <w:r>
        <w:instrText xml:space="preserve"> </w:instrText>
      </w:r>
      <w:r>
        <w:rPr>
          <w:rFonts w:hint="eastAsia"/>
        </w:rPr>
        <w:instrText xml:space="preserve">SEQ 图1- \* ARABIC</w:instrText>
      </w:r>
      <w:r>
        <w:instrText xml:space="preserve"> </w:instrText>
      </w:r>
      <w:r>
        <w:fldChar w:fldCharType="separate"/>
      </w:r>
      <w:r>
        <w:t>2</w:t>
      </w:r>
      <w:r>
        <w:fldChar w:fldCharType="end"/>
      </w:r>
      <w:r>
        <w:t xml:space="preserve">  2019届</w:t>
      </w:r>
      <w:r>
        <w:rPr>
          <w:rFonts w:hint="eastAsia"/>
        </w:rPr>
        <w:t>各院系毕业生就业率</w:t>
      </w:r>
      <w:bookmarkEnd w:id="65"/>
    </w:p>
    <w:p>
      <w:pPr>
        <w:pStyle w:val="132"/>
        <w:ind w:firstLine="360"/>
      </w:pPr>
      <w:r>
        <w:rPr>
          <w:rFonts w:hint="eastAsia"/>
        </w:rPr>
        <w:t>数据来源：安徽省教育厅就业系统。</w:t>
      </w:r>
    </w:p>
    <w:p>
      <w:pPr>
        <w:pStyle w:val="199"/>
        <w:spacing w:before="156" w:beforeLines="50" w:after="156" w:afterLines="50"/>
        <w:ind w:firstLine="480"/>
      </w:pPr>
      <w:r>
        <w:rPr>
          <w:rFonts w:hint="eastAsia"/>
        </w:rPr>
        <w:t>学校2019届毕业生</w:t>
      </w:r>
      <w:r>
        <w:t>分布在</w:t>
      </w:r>
      <w:r>
        <w:rPr>
          <w:rFonts w:hint="eastAsia"/>
        </w:rPr>
        <w:t>50个</w:t>
      </w:r>
      <w:r>
        <w:t>专业</w:t>
      </w:r>
      <w:r>
        <w:rPr>
          <w:rFonts w:hint="eastAsia"/>
        </w:rPr>
        <w:t>；除广告学之外，其余各专业就业率均在84</w:t>
      </w:r>
      <w:r>
        <w:t>.00%</w:t>
      </w:r>
      <w:r>
        <w:rPr>
          <w:rFonts w:hint="eastAsia"/>
        </w:rPr>
        <w:t>以上。其中，给排水科学与工程、动物科学、环境设计、数学与应用数学等12个专业的就业率均达到</w:t>
      </w:r>
      <w:r>
        <w:t>100.00%</w:t>
      </w:r>
      <w:r>
        <w:rPr>
          <w:rFonts w:hint="eastAsia"/>
        </w:rPr>
        <w:t>。</w:t>
      </w:r>
    </w:p>
    <w:p>
      <w:pPr>
        <w:pStyle w:val="199"/>
        <w:spacing w:before="156" w:beforeLines="50" w:after="156" w:afterLines="50"/>
        <w:ind w:firstLine="480"/>
      </w:pPr>
    </w:p>
    <w:p>
      <w:pPr>
        <w:pStyle w:val="199"/>
        <w:spacing w:before="156" w:beforeLines="50" w:after="156" w:afterLines="50"/>
        <w:ind w:firstLine="480"/>
      </w:pPr>
    </w:p>
    <w:p>
      <w:pPr>
        <w:pStyle w:val="203"/>
        <w:spacing w:before="0" w:beforeLines="0" w:after="0" w:afterLines="0"/>
      </w:pPr>
      <w:bookmarkStart w:id="66" w:name="_Toc27002295"/>
      <w:r>
        <w:rPr>
          <w:rFonts w:hint="eastAsia"/>
        </w:rPr>
        <w:t xml:space="preserve">表1- </w:t>
      </w:r>
      <w:r>
        <w:fldChar w:fldCharType="begin"/>
      </w:r>
      <w:r>
        <w:instrText xml:space="preserve"> </w:instrText>
      </w:r>
      <w:r>
        <w:rPr>
          <w:rFonts w:hint="eastAsia"/>
        </w:rPr>
        <w:instrText xml:space="preserve">SEQ 表1- \* ARABIC</w:instrText>
      </w:r>
      <w:r>
        <w:instrText xml:space="preserve"> </w:instrText>
      </w:r>
      <w:r>
        <w:fldChar w:fldCharType="separate"/>
      </w:r>
      <w:r>
        <w:t>3</w:t>
      </w:r>
      <w:r>
        <w:fldChar w:fldCharType="end"/>
      </w:r>
      <w:r>
        <w:rPr>
          <w:bCs/>
        </w:rPr>
        <w:t xml:space="preserve">  2019届</w:t>
      </w:r>
      <w:r>
        <w:rPr>
          <w:rFonts w:hint="eastAsia"/>
          <w:bCs/>
        </w:rPr>
        <w:t>各专业毕业生就业率</w:t>
      </w:r>
      <w:bookmarkEnd w:id="66"/>
    </w:p>
    <w:tbl>
      <w:tblPr>
        <w:tblStyle w:val="212"/>
        <w:tblW w:w="4872" w:type="pct"/>
        <w:jc w:val="center"/>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Layout w:type="autofit"/>
        <w:tblCellMar>
          <w:top w:w="0" w:type="dxa"/>
          <w:left w:w="108" w:type="dxa"/>
          <w:bottom w:w="0" w:type="dxa"/>
          <w:right w:w="108" w:type="dxa"/>
        </w:tblCellMar>
      </w:tblPr>
      <w:tblGrid>
        <w:gridCol w:w="3508"/>
        <w:gridCol w:w="1755"/>
        <w:gridCol w:w="1755"/>
        <w:gridCol w:w="1755"/>
      </w:tblGrid>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tblHeader/>
          <w:jc w:val="center"/>
        </w:trPr>
        <w:tc>
          <w:tcPr>
            <w:tcW w:w="2000" w:type="pct"/>
            <w:tcBorders>
              <w:top w:val="single" w:color="FFFFFF" w:themeColor="background1" w:sz="24" w:space="0"/>
              <w:left w:val="single" w:color="FFFFFF" w:themeColor="background1" w:sz="24" w:space="0"/>
              <w:bottom w:val="single" w:color="FFFFFF" w:themeColor="background1" w:sz="24" w:space="0"/>
              <w:right w:val="nil"/>
              <w:insideV w:val="nil"/>
            </w:tcBorders>
            <w:shd w:val="clear" w:color="auto" w:fill="4472C4" w:themeFill="accent1"/>
            <w:noWrap/>
            <w:vAlign w:val="center"/>
          </w:tcPr>
          <w:p>
            <w:pPr>
              <w:spacing w:before="0"/>
              <w:jc w:val="center"/>
              <w:rPr>
                <w:rFonts w:ascii="Times New Roman" w:hAnsi="Times New Roman" w:eastAsiaTheme="minorEastAsia" w:cstheme="minorBidi"/>
                <w:b/>
                <w:bCs/>
                <w:color w:val="FFFFFF" w:themeColor="background1"/>
                <w:sz w:val="21"/>
                <w:szCs w:val="21"/>
                <w14:textFill>
                  <w14:solidFill>
                    <w14:schemeClr w14:val="bg1"/>
                  </w14:solidFill>
                </w14:textFill>
              </w:rPr>
            </w:pPr>
            <w:bookmarkStart w:id="67" w:name="_Hlk520290535"/>
            <w:r>
              <w:rPr>
                <w:rFonts w:ascii="Times New Roman" w:hAnsi="Times New Roman" w:eastAsiaTheme="minorEastAsia" w:cstheme="minorBidi"/>
                <w:b/>
                <w:bCs/>
                <w:color w:val="FFFFFF" w:themeColor="background1"/>
                <w:sz w:val="21"/>
                <w:szCs w:val="21"/>
                <w14:textFill>
                  <w14:solidFill>
                    <w14:schemeClr w14:val="bg1"/>
                  </w14:solidFill>
                </w14:textFill>
              </w:rPr>
              <w:t>专业</w:t>
            </w:r>
          </w:p>
        </w:tc>
        <w:tc>
          <w:tcPr>
            <w:tcW w:w="1000" w:type="pct"/>
            <w:tcBorders>
              <w:top w:val="single" w:color="FFFFFF" w:themeColor="background1" w:sz="24" w:space="0"/>
              <w:left w:val="single" w:color="FFFFFF" w:themeColor="background1" w:sz="24" w:space="0"/>
              <w:bottom w:val="single" w:color="FFFFFF" w:themeColor="background1" w:sz="24" w:space="0"/>
              <w:right w:val="nil"/>
              <w:insideV w:val="nil"/>
            </w:tcBorders>
            <w:shd w:val="clear" w:color="auto" w:fill="4472C4" w:themeFill="accent1"/>
            <w:noWrap/>
            <w:vAlign w:val="center"/>
          </w:tcPr>
          <w:p>
            <w:pPr>
              <w:spacing w:before="0"/>
              <w:jc w:val="center"/>
              <w:rPr>
                <w:rFonts w:ascii="Times New Roman" w:hAnsi="Times New Roman" w:eastAsiaTheme="minorEastAsia" w:cstheme="minorBidi"/>
                <w:b/>
                <w:bCs/>
                <w:color w:val="FFFFFF" w:themeColor="background1"/>
                <w:sz w:val="21"/>
                <w:szCs w:val="21"/>
                <w14:textFill>
                  <w14:solidFill>
                    <w14:schemeClr w14:val="bg1"/>
                  </w14:solidFill>
                </w14:textFill>
              </w:rPr>
            </w:pPr>
            <w:r>
              <w:rPr>
                <w:rFonts w:ascii="Times New Roman" w:hAnsi="Times New Roman" w:eastAsiaTheme="minorEastAsia" w:cstheme="minorBidi"/>
                <w:b/>
                <w:bCs w:val="0"/>
                <w:color w:val="FFFFFF" w:themeColor="background1"/>
                <w:sz w:val="21"/>
                <w:szCs w:val="21"/>
                <w14:textFill>
                  <w14:solidFill>
                    <w14:schemeClr w14:val="bg1"/>
                  </w14:solidFill>
                </w14:textFill>
              </w:rPr>
              <w:t>毕业</w:t>
            </w:r>
            <w:r>
              <w:rPr>
                <w:rFonts w:ascii="Times New Roman" w:hAnsi="Times New Roman" w:eastAsiaTheme="minorEastAsia" w:cstheme="minorBidi"/>
                <w:b/>
                <w:bCs/>
                <w:color w:val="FFFFFF" w:themeColor="background1"/>
                <w:sz w:val="21"/>
                <w:szCs w:val="21"/>
                <w14:textFill>
                  <w14:solidFill>
                    <w14:schemeClr w14:val="bg1"/>
                  </w14:solidFill>
                </w14:textFill>
              </w:rPr>
              <w:t>人数</w:t>
            </w:r>
          </w:p>
        </w:tc>
        <w:tc>
          <w:tcPr>
            <w:tcW w:w="1000" w:type="pct"/>
            <w:tcBorders>
              <w:top w:val="single" w:color="FFFFFF" w:themeColor="background1" w:sz="24" w:space="0"/>
              <w:left w:val="single" w:color="FFFFFF" w:themeColor="background1" w:sz="24" w:space="0"/>
              <w:bottom w:val="single" w:color="FFFFFF" w:themeColor="background1" w:sz="24" w:space="0"/>
              <w:right w:val="nil"/>
              <w:insideV w:val="nil"/>
            </w:tcBorders>
            <w:shd w:val="clear" w:color="auto" w:fill="4472C4" w:themeFill="accent1"/>
            <w:noWrap/>
            <w:vAlign w:val="center"/>
          </w:tcPr>
          <w:p>
            <w:pPr>
              <w:spacing w:before="0"/>
              <w:jc w:val="center"/>
              <w:rPr>
                <w:rFonts w:ascii="Times New Roman" w:hAnsi="Times New Roman" w:eastAsiaTheme="minorEastAsia" w:cstheme="minorBidi"/>
                <w:b/>
                <w:bCs/>
                <w:color w:val="FFFFFF" w:themeColor="background1"/>
                <w:sz w:val="21"/>
                <w:szCs w:val="21"/>
                <w14:textFill>
                  <w14:solidFill>
                    <w14:schemeClr w14:val="bg1"/>
                  </w14:solidFill>
                </w14:textFill>
              </w:rPr>
            </w:pPr>
            <w:r>
              <w:rPr>
                <w:rFonts w:ascii="Times New Roman" w:hAnsi="Times New Roman" w:eastAsiaTheme="minorEastAsia" w:cstheme="minorBidi"/>
                <w:b/>
                <w:bCs/>
                <w:color w:val="FFFFFF" w:themeColor="background1"/>
                <w:sz w:val="21"/>
                <w:szCs w:val="21"/>
                <w14:textFill>
                  <w14:solidFill>
                    <w14:schemeClr w14:val="bg1"/>
                  </w14:solidFill>
                </w14:textFill>
              </w:rPr>
              <w:t>就业人数</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V w:val="nil"/>
            </w:tcBorders>
            <w:shd w:val="clear" w:color="auto" w:fill="4472C4" w:themeFill="accent1"/>
            <w:noWrap/>
            <w:vAlign w:val="center"/>
          </w:tcPr>
          <w:p>
            <w:pPr>
              <w:spacing w:before="0"/>
              <w:jc w:val="center"/>
              <w:rPr>
                <w:rFonts w:ascii="Times New Roman" w:hAnsi="Times New Roman" w:eastAsiaTheme="minorEastAsia" w:cstheme="minorBidi"/>
                <w:b/>
                <w:bCs/>
                <w:color w:val="FFFFFF" w:themeColor="background1"/>
                <w:sz w:val="21"/>
                <w:szCs w:val="21"/>
                <w14:textFill>
                  <w14:solidFill>
                    <w14:schemeClr w14:val="bg1"/>
                  </w14:solidFill>
                </w14:textFill>
              </w:rPr>
            </w:pPr>
            <w:r>
              <w:rPr>
                <w:rFonts w:ascii="Times New Roman" w:hAnsi="Times New Roman" w:eastAsiaTheme="minorEastAsia" w:cstheme="minorBidi"/>
                <w:b/>
                <w:bCs/>
                <w:color w:val="FFFFFF" w:themeColor="background1"/>
                <w:sz w:val="21"/>
                <w:szCs w:val="21"/>
                <w14:textFill>
                  <w14:solidFill>
                    <w14:schemeClr w14:val="bg1"/>
                  </w14:solidFill>
                </w14:textFill>
              </w:rPr>
              <w:t>就业率</w:t>
            </w:r>
          </w:p>
        </w:tc>
      </w:tr>
      <w:bookmarkEnd w:id="67"/>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jc w:val="center"/>
        </w:trPr>
        <w:tc>
          <w:tcPr>
            <w:tcW w:w="2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top"/>
          </w:tcPr>
          <w:p>
            <w:pPr>
              <w:spacing w:before="100"/>
              <w:jc w:val="center"/>
              <w:textAlignment w:val="bottom"/>
              <w:rPr>
                <w:rFonts w:ascii="宋体" w:hAnsi="宋体" w:cs="宋体" w:eastAsiaTheme="minorEastAsia"/>
                <w:b/>
                <w:bCs w:val="0"/>
                <w:color w:val="FFFFFF" w:themeColor="background1"/>
                <w:sz w:val="21"/>
                <w:szCs w:val="21"/>
                <w:lang w:bidi="ar"/>
                <w14:textFill>
                  <w14:solidFill>
                    <w14:schemeClr w14:val="bg1"/>
                  </w14:solidFill>
                </w14:textFill>
              </w:rPr>
            </w:pPr>
            <w:r>
              <w:rPr>
                <w:rFonts w:hint="eastAsia" w:ascii="宋体" w:hAnsi="宋体" w:cs="宋体" w:eastAsiaTheme="minorEastAsia"/>
                <w:b/>
                <w:bCs w:val="0"/>
                <w:color w:val="FFFFFF" w:themeColor="background1"/>
                <w:sz w:val="21"/>
                <w:szCs w:val="21"/>
                <w:lang w:bidi="ar"/>
                <w14:textFill>
                  <w14:solidFill>
                    <w14:schemeClr w14:val="bg1"/>
                  </w14:solidFill>
                </w14:textFill>
              </w:rPr>
              <w:t>给排水科学与工程</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top"/>
          </w:tcPr>
          <w:p>
            <w:pPr>
              <w:spacing w:before="100"/>
              <w:jc w:val="center"/>
              <w:textAlignment w:val="bottom"/>
              <w:rPr>
                <w:rFonts w:ascii="Times New Roman" w:hAnsi="Times New Roman" w:eastAsiaTheme="minorEastAsia" w:cstheme="minorBidi"/>
                <w:color w:val="000000"/>
                <w:sz w:val="21"/>
                <w:szCs w:val="21"/>
                <w:lang w:bidi="ar"/>
              </w:rPr>
            </w:pPr>
            <w:r>
              <w:rPr>
                <w:rFonts w:hint="eastAsia" w:ascii="Times New Roman" w:hAnsi="Times New Roman" w:eastAsiaTheme="minorEastAsia" w:cstheme="minorBidi"/>
                <w:color w:val="000000"/>
                <w:sz w:val="21"/>
                <w:szCs w:val="21"/>
                <w:lang w:bidi="ar"/>
              </w:rPr>
              <w:t>113</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top"/>
          </w:tcPr>
          <w:p>
            <w:pPr>
              <w:spacing w:before="100"/>
              <w:jc w:val="center"/>
              <w:textAlignment w:val="bottom"/>
              <w:rPr>
                <w:rFonts w:ascii="Times New Roman" w:hAnsi="Times New Roman" w:eastAsiaTheme="minorEastAsia" w:cstheme="minorBidi"/>
                <w:color w:val="000000"/>
                <w:sz w:val="21"/>
                <w:szCs w:val="21"/>
                <w:lang w:bidi="ar"/>
              </w:rPr>
            </w:pPr>
            <w:r>
              <w:rPr>
                <w:rFonts w:hint="eastAsia" w:ascii="Times New Roman" w:hAnsi="Times New Roman" w:eastAsiaTheme="minorEastAsia" w:cstheme="minorBidi"/>
                <w:color w:val="000000"/>
                <w:sz w:val="21"/>
                <w:szCs w:val="21"/>
                <w:lang w:bidi="ar"/>
              </w:rPr>
              <w:t>113</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top"/>
          </w:tcPr>
          <w:p>
            <w:pPr>
              <w:spacing w:before="100"/>
              <w:jc w:val="center"/>
              <w:textAlignment w:val="bottom"/>
              <w:rPr>
                <w:rFonts w:ascii="Times New Roman" w:hAnsi="Times New Roman" w:eastAsiaTheme="minorEastAsia" w:cstheme="minorBidi"/>
                <w:color w:val="000000"/>
                <w:sz w:val="21"/>
                <w:szCs w:val="21"/>
                <w:lang w:bidi="ar"/>
              </w:rPr>
            </w:pPr>
            <w:r>
              <w:rPr>
                <w:rFonts w:hint="eastAsia" w:ascii="Times New Roman" w:hAnsi="Times New Roman" w:eastAsiaTheme="minorEastAsia" w:cstheme="minorBidi"/>
                <w:color w:val="000000"/>
                <w:sz w:val="21"/>
                <w:szCs w:val="21"/>
                <w:lang w:bidi="ar"/>
              </w:rPr>
              <w:t>100.00%</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jc w:val="center"/>
        </w:trPr>
        <w:tc>
          <w:tcPr>
            <w:tcW w:w="2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top"/>
          </w:tcPr>
          <w:p>
            <w:pPr>
              <w:spacing w:before="100"/>
              <w:jc w:val="center"/>
              <w:textAlignment w:val="bottom"/>
              <w:rPr>
                <w:rFonts w:ascii="宋体" w:hAnsi="宋体" w:cs="宋体" w:eastAsiaTheme="minorEastAsia"/>
                <w:b/>
                <w:bCs w:val="0"/>
                <w:color w:val="FFFFFF" w:themeColor="background1"/>
                <w:sz w:val="21"/>
                <w:szCs w:val="21"/>
                <w:lang w:bidi="ar"/>
                <w14:textFill>
                  <w14:solidFill>
                    <w14:schemeClr w14:val="bg1"/>
                  </w14:solidFill>
                </w14:textFill>
              </w:rPr>
            </w:pPr>
            <w:r>
              <w:rPr>
                <w:rFonts w:hint="eastAsia" w:ascii="宋体" w:hAnsi="宋体" w:cs="宋体" w:eastAsiaTheme="minorEastAsia"/>
                <w:b/>
                <w:bCs w:val="0"/>
                <w:color w:val="FFFFFF" w:themeColor="background1"/>
                <w:sz w:val="21"/>
                <w:szCs w:val="21"/>
                <w:lang w:bidi="ar"/>
                <w14:textFill>
                  <w14:solidFill>
                    <w14:schemeClr w14:val="bg1"/>
                  </w14:solidFill>
                </w14:textFill>
              </w:rPr>
              <w:t>动物科学</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top"/>
          </w:tcPr>
          <w:p>
            <w:pPr>
              <w:spacing w:before="100"/>
              <w:jc w:val="center"/>
              <w:textAlignment w:val="bottom"/>
              <w:rPr>
                <w:rFonts w:ascii="Times New Roman" w:hAnsi="Times New Roman" w:eastAsiaTheme="minorEastAsia" w:cstheme="minorBidi"/>
                <w:color w:val="000000"/>
                <w:sz w:val="21"/>
                <w:szCs w:val="21"/>
                <w:lang w:bidi="ar"/>
              </w:rPr>
            </w:pPr>
            <w:r>
              <w:rPr>
                <w:rFonts w:hint="eastAsia" w:ascii="Times New Roman" w:hAnsi="Times New Roman" w:eastAsiaTheme="minorEastAsia" w:cstheme="minorBidi"/>
                <w:color w:val="000000"/>
                <w:sz w:val="21"/>
                <w:szCs w:val="21"/>
                <w:lang w:bidi="ar"/>
              </w:rPr>
              <w:t>99</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top"/>
          </w:tcPr>
          <w:p>
            <w:pPr>
              <w:spacing w:before="100"/>
              <w:jc w:val="center"/>
              <w:textAlignment w:val="bottom"/>
              <w:rPr>
                <w:rFonts w:ascii="Times New Roman" w:hAnsi="Times New Roman" w:eastAsiaTheme="minorEastAsia" w:cstheme="minorBidi"/>
                <w:color w:val="000000"/>
                <w:sz w:val="21"/>
                <w:szCs w:val="21"/>
                <w:lang w:bidi="ar"/>
              </w:rPr>
            </w:pPr>
            <w:r>
              <w:rPr>
                <w:rFonts w:hint="eastAsia" w:ascii="Times New Roman" w:hAnsi="Times New Roman" w:eastAsiaTheme="minorEastAsia" w:cstheme="minorBidi"/>
                <w:color w:val="000000"/>
                <w:sz w:val="21"/>
                <w:szCs w:val="21"/>
                <w:lang w:bidi="ar"/>
              </w:rPr>
              <w:t>99</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top"/>
          </w:tcPr>
          <w:p>
            <w:pPr>
              <w:spacing w:before="100"/>
              <w:jc w:val="center"/>
              <w:textAlignment w:val="bottom"/>
              <w:rPr>
                <w:rFonts w:ascii="Times New Roman" w:hAnsi="Times New Roman" w:eastAsiaTheme="minorEastAsia" w:cstheme="minorBidi"/>
                <w:color w:val="000000"/>
                <w:sz w:val="21"/>
                <w:szCs w:val="21"/>
                <w:lang w:bidi="ar"/>
              </w:rPr>
            </w:pPr>
            <w:r>
              <w:rPr>
                <w:rFonts w:hint="eastAsia" w:ascii="Times New Roman" w:hAnsi="Times New Roman" w:eastAsiaTheme="minorEastAsia" w:cstheme="minorBidi"/>
                <w:color w:val="000000"/>
                <w:sz w:val="21"/>
                <w:szCs w:val="21"/>
                <w:lang w:bidi="ar"/>
              </w:rPr>
              <w:t>100.00%</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jc w:val="center"/>
        </w:trPr>
        <w:tc>
          <w:tcPr>
            <w:tcW w:w="2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top"/>
          </w:tcPr>
          <w:p>
            <w:pPr>
              <w:spacing w:before="100"/>
              <w:jc w:val="center"/>
              <w:textAlignment w:val="bottom"/>
              <w:rPr>
                <w:rFonts w:ascii="宋体" w:hAnsi="宋体" w:cs="宋体" w:eastAsiaTheme="minorEastAsia"/>
                <w:b/>
                <w:bCs w:val="0"/>
                <w:color w:val="FFFFFF" w:themeColor="background1"/>
                <w:sz w:val="21"/>
                <w:szCs w:val="21"/>
                <w:lang w:bidi="ar"/>
                <w14:textFill>
                  <w14:solidFill>
                    <w14:schemeClr w14:val="bg1"/>
                  </w14:solidFill>
                </w14:textFill>
              </w:rPr>
            </w:pPr>
            <w:bookmarkStart w:id="68" w:name="_Hlk27483531"/>
            <w:r>
              <w:rPr>
                <w:rFonts w:hint="eastAsia" w:ascii="宋体" w:hAnsi="宋体" w:cs="宋体" w:eastAsiaTheme="minorEastAsia"/>
                <w:b/>
                <w:bCs w:val="0"/>
                <w:color w:val="FFFFFF" w:themeColor="background1"/>
                <w:sz w:val="21"/>
                <w:szCs w:val="21"/>
                <w:lang w:bidi="ar"/>
                <w14:textFill>
                  <w14:solidFill>
                    <w14:schemeClr w14:val="bg1"/>
                  </w14:solidFill>
                </w14:textFill>
              </w:rPr>
              <w:t>环境设计</w:t>
            </w:r>
            <w:bookmarkEnd w:id="68"/>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top"/>
          </w:tcPr>
          <w:p>
            <w:pPr>
              <w:spacing w:before="100"/>
              <w:jc w:val="center"/>
              <w:textAlignment w:val="bottom"/>
              <w:rPr>
                <w:rFonts w:ascii="Times New Roman" w:hAnsi="Times New Roman" w:eastAsiaTheme="minorEastAsia" w:cstheme="minorBidi"/>
                <w:color w:val="000000"/>
                <w:sz w:val="21"/>
                <w:szCs w:val="21"/>
                <w:lang w:bidi="ar"/>
              </w:rPr>
            </w:pPr>
            <w:r>
              <w:rPr>
                <w:rFonts w:hint="eastAsia" w:ascii="Times New Roman" w:hAnsi="Times New Roman" w:eastAsiaTheme="minorEastAsia" w:cstheme="minorBidi"/>
                <w:color w:val="000000"/>
                <w:sz w:val="21"/>
                <w:szCs w:val="21"/>
                <w:lang w:bidi="ar"/>
              </w:rPr>
              <w:t>85</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top"/>
          </w:tcPr>
          <w:p>
            <w:pPr>
              <w:spacing w:before="100"/>
              <w:jc w:val="center"/>
              <w:textAlignment w:val="bottom"/>
              <w:rPr>
                <w:rFonts w:ascii="Times New Roman" w:hAnsi="Times New Roman" w:eastAsiaTheme="minorEastAsia" w:cstheme="minorBidi"/>
                <w:color w:val="000000"/>
                <w:sz w:val="21"/>
                <w:szCs w:val="21"/>
                <w:lang w:bidi="ar"/>
              </w:rPr>
            </w:pPr>
            <w:r>
              <w:rPr>
                <w:rFonts w:hint="eastAsia" w:ascii="Times New Roman" w:hAnsi="Times New Roman" w:eastAsiaTheme="minorEastAsia" w:cstheme="minorBidi"/>
                <w:color w:val="000000"/>
                <w:sz w:val="21"/>
                <w:szCs w:val="21"/>
                <w:lang w:bidi="ar"/>
              </w:rPr>
              <w:t>85</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top"/>
          </w:tcPr>
          <w:p>
            <w:pPr>
              <w:spacing w:before="100"/>
              <w:jc w:val="center"/>
              <w:textAlignment w:val="bottom"/>
              <w:rPr>
                <w:rFonts w:ascii="Times New Roman" w:hAnsi="Times New Roman" w:eastAsiaTheme="minorEastAsia" w:cstheme="minorBidi"/>
                <w:color w:val="000000"/>
                <w:sz w:val="21"/>
                <w:szCs w:val="21"/>
                <w:lang w:bidi="ar"/>
              </w:rPr>
            </w:pPr>
            <w:r>
              <w:rPr>
                <w:rFonts w:hint="eastAsia" w:ascii="Times New Roman" w:hAnsi="Times New Roman" w:eastAsiaTheme="minorEastAsia" w:cstheme="minorBidi"/>
                <w:color w:val="000000"/>
                <w:sz w:val="21"/>
                <w:szCs w:val="21"/>
                <w:lang w:bidi="ar"/>
              </w:rPr>
              <w:t>100.00%</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jc w:val="center"/>
        </w:trPr>
        <w:tc>
          <w:tcPr>
            <w:tcW w:w="2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top"/>
          </w:tcPr>
          <w:p>
            <w:pPr>
              <w:spacing w:before="100"/>
              <w:jc w:val="center"/>
              <w:textAlignment w:val="bottom"/>
              <w:rPr>
                <w:rFonts w:ascii="宋体" w:hAnsi="宋体" w:cs="宋体" w:eastAsiaTheme="minorEastAsia"/>
                <w:b/>
                <w:bCs w:val="0"/>
                <w:color w:val="FFFFFF" w:themeColor="background1"/>
                <w:sz w:val="21"/>
                <w:szCs w:val="21"/>
                <w:lang w:bidi="ar"/>
                <w14:textFill>
                  <w14:solidFill>
                    <w14:schemeClr w14:val="bg1"/>
                  </w14:solidFill>
                </w14:textFill>
              </w:rPr>
            </w:pPr>
            <w:r>
              <w:rPr>
                <w:rFonts w:hint="eastAsia" w:ascii="宋体" w:hAnsi="宋体" w:cs="宋体" w:eastAsiaTheme="minorEastAsia"/>
                <w:b/>
                <w:bCs w:val="0"/>
                <w:color w:val="FFFFFF" w:themeColor="background1"/>
                <w:sz w:val="21"/>
                <w:szCs w:val="21"/>
                <w:lang w:bidi="ar"/>
                <w14:textFill>
                  <w14:solidFill>
                    <w14:schemeClr w14:val="bg1"/>
                  </w14:solidFill>
                </w14:textFill>
              </w:rPr>
              <w:t>数学与应用数学</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top"/>
          </w:tcPr>
          <w:p>
            <w:pPr>
              <w:spacing w:before="100"/>
              <w:jc w:val="center"/>
              <w:textAlignment w:val="bottom"/>
              <w:rPr>
                <w:rFonts w:ascii="Times New Roman" w:hAnsi="Times New Roman" w:eastAsiaTheme="minorEastAsia" w:cstheme="minorBidi"/>
                <w:color w:val="000000"/>
                <w:sz w:val="21"/>
                <w:szCs w:val="21"/>
                <w:lang w:bidi="ar"/>
              </w:rPr>
            </w:pPr>
            <w:r>
              <w:rPr>
                <w:rFonts w:hint="eastAsia" w:ascii="Times New Roman" w:hAnsi="Times New Roman" w:eastAsiaTheme="minorEastAsia" w:cstheme="minorBidi"/>
                <w:color w:val="000000"/>
                <w:sz w:val="21"/>
                <w:szCs w:val="21"/>
                <w:lang w:bidi="ar"/>
              </w:rPr>
              <w:t>78</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top"/>
          </w:tcPr>
          <w:p>
            <w:pPr>
              <w:spacing w:before="100"/>
              <w:jc w:val="center"/>
              <w:textAlignment w:val="bottom"/>
              <w:rPr>
                <w:rFonts w:ascii="Times New Roman" w:hAnsi="Times New Roman" w:eastAsiaTheme="minorEastAsia" w:cstheme="minorBidi"/>
                <w:color w:val="000000"/>
                <w:sz w:val="21"/>
                <w:szCs w:val="21"/>
                <w:lang w:bidi="ar"/>
              </w:rPr>
            </w:pPr>
            <w:r>
              <w:rPr>
                <w:rFonts w:hint="eastAsia" w:ascii="Times New Roman" w:hAnsi="Times New Roman" w:eastAsiaTheme="minorEastAsia" w:cstheme="minorBidi"/>
                <w:color w:val="000000"/>
                <w:sz w:val="21"/>
                <w:szCs w:val="21"/>
                <w:lang w:bidi="ar"/>
              </w:rPr>
              <w:t>78</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top"/>
          </w:tcPr>
          <w:p>
            <w:pPr>
              <w:spacing w:before="100"/>
              <w:jc w:val="center"/>
              <w:textAlignment w:val="bottom"/>
              <w:rPr>
                <w:rFonts w:ascii="Times New Roman" w:hAnsi="Times New Roman" w:eastAsiaTheme="minorEastAsia" w:cstheme="minorBidi"/>
                <w:color w:val="000000"/>
                <w:sz w:val="21"/>
                <w:szCs w:val="21"/>
                <w:lang w:bidi="ar"/>
              </w:rPr>
            </w:pPr>
            <w:r>
              <w:rPr>
                <w:rFonts w:hint="eastAsia" w:ascii="Times New Roman" w:hAnsi="Times New Roman" w:eastAsiaTheme="minorEastAsia" w:cstheme="minorBidi"/>
                <w:color w:val="000000"/>
                <w:sz w:val="21"/>
                <w:szCs w:val="21"/>
                <w:lang w:bidi="ar"/>
              </w:rPr>
              <w:t>100.00%</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jc w:val="center"/>
        </w:trPr>
        <w:tc>
          <w:tcPr>
            <w:tcW w:w="2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top"/>
          </w:tcPr>
          <w:p>
            <w:pPr>
              <w:spacing w:before="100"/>
              <w:jc w:val="center"/>
              <w:textAlignment w:val="bottom"/>
              <w:rPr>
                <w:rFonts w:ascii="宋体" w:hAnsi="宋体" w:cs="宋体" w:eastAsiaTheme="minorEastAsia"/>
                <w:b/>
                <w:bCs w:val="0"/>
                <w:color w:val="FFFFFF" w:themeColor="background1"/>
                <w:sz w:val="21"/>
                <w:szCs w:val="21"/>
                <w:lang w:bidi="ar"/>
                <w14:textFill>
                  <w14:solidFill>
                    <w14:schemeClr w14:val="bg1"/>
                  </w14:solidFill>
                </w14:textFill>
              </w:rPr>
            </w:pPr>
            <w:r>
              <w:rPr>
                <w:rFonts w:hint="eastAsia" w:ascii="宋体" w:hAnsi="宋体" w:cs="宋体" w:eastAsiaTheme="minorEastAsia"/>
                <w:b/>
                <w:bCs w:val="0"/>
                <w:color w:val="FFFFFF" w:themeColor="background1"/>
                <w:sz w:val="21"/>
                <w:szCs w:val="21"/>
                <w:lang w:bidi="ar"/>
                <w14:textFill>
                  <w14:solidFill>
                    <w14:schemeClr w14:val="bg1"/>
                  </w14:solidFill>
                </w14:textFill>
              </w:rPr>
              <w:t>建筑学</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top"/>
          </w:tcPr>
          <w:p>
            <w:pPr>
              <w:spacing w:before="100"/>
              <w:jc w:val="center"/>
              <w:textAlignment w:val="bottom"/>
              <w:rPr>
                <w:rFonts w:ascii="Times New Roman" w:hAnsi="Times New Roman" w:eastAsiaTheme="minorEastAsia" w:cstheme="minorBidi"/>
                <w:color w:val="000000"/>
                <w:sz w:val="21"/>
                <w:szCs w:val="21"/>
                <w:lang w:bidi="ar"/>
              </w:rPr>
            </w:pPr>
            <w:r>
              <w:rPr>
                <w:rFonts w:hint="eastAsia" w:ascii="Times New Roman" w:hAnsi="Times New Roman" w:eastAsiaTheme="minorEastAsia" w:cstheme="minorBidi"/>
                <w:color w:val="000000"/>
                <w:sz w:val="21"/>
                <w:szCs w:val="21"/>
                <w:lang w:bidi="ar"/>
              </w:rPr>
              <w:t>75</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top"/>
          </w:tcPr>
          <w:p>
            <w:pPr>
              <w:spacing w:before="100"/>
              <w:jc w:val="center"/>
              <w:textAlignment w:val="bottom"/>
              <w:rPr>
                <w:rFonts w:ascii="Times New Roman" w:hAnsi="Times New Roman" w:eastAsiaTheme="minorEastAsia" w:cstheme="minorBidi"/>
                <w:color w:val="000000"/>
                <w:sz w:val="21"/>
                <w:szCs w:val="21"/>
                <w:lang w:bidi="ar"/>
              </w:rPr>
            </w:pPr>
            <w:r>
              <w:rPr>
                <w:rFonts w:hint="eastAsia" w:ascii="Times New Roman" w:hAnsi="Times New Roman" w:eastAsiaTheme="minorEastAsia" w:cstheme="minorBidi"/>
                <w:color w:val="000000"/>
                <w:sz w:val="21"/>
                <w:szCs w:val="21"/>
                <w:lang w:bidi="ar"/>
              </w:rPr>
              <w:t>75</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top"/>
          </w:tcPr>
          <w:p>
            <w:pPr>
              <w:spacing w:before="100"/>
              <w:jc w:val="center"/>
              <w:textAlignment w:val="bottom"/>
              <w:rPr>
                <w:rFonts w:ascii="Times New Roman" w:hAnsi="Times New Roman" w:eastAsiaTheme="minorEastAsia" w:cstheme="minorBidi"/>
                <w:color w:val="000000"/>
                <w:sz w:val="21"/>
                <w:szCs w:val="21"/>
                <w:lang w:bidi="ar"/>
              </w:rPr>
            </w:pPr>
            <w:r>
              <w:rPr>
                <w:rFonts w:hint="eastAsia" w:ascii="Times New Roman" w:hAnsi="Times New Roman" w:eastAsiaTheme="minorEastAsia" w:cstheme="minorBidi"/>
                <w:color w:val="000000"/>
                <w:sz w:val="21"/>
                <w:szCs w:val="21"/>
                <w:lang w:bidi="ar"/>
              </w:rPr>
              <w:t>100.00%</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jc w:val="center"/>
        </w:trPr>
        <w:tc>
          <w:tcPr>
            <w:tcW w:w="2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top"/>
          </w:tcPr>
          <w:p>
            <w:pPr>
              <w:spacing w:before="100"/>
              <w:jc w:val="center"/>
              <w:textAlignment w:val="bottom"/>
              <w:rPr>
                <w:rFonts w:ascii="宋体" w:hAnsi="宋体" w:cs="宋体" w:eastAsiaTheme="minorEastAsia"/>
                <w:b/>
                <w:bCs w:val="0"/>
                <w:color w:val="FFFFFF" w:themeColor="background1"/>
                <w:sz w:val="21"/>
                <w:szCs w:val="21"/>
                <w:lang w:bidi="ar"/>
                <w14:textFill>
                  <w14:solidFill>
                    <w14:schemeClr w14:val="bg1"/>
                  </w14:solidFill>
                </w14:textFill>
              </w:rPr>
            </w:pPr>
            <w:r>
              <w:rPr>
                <w:rFonts w:hint="eastAsia" w:ascii="宋体" w:hAnsi="宋体" w:cs="宋体" w:eastAsiaTheme="minorEastAsia"/>
                <w:b/>
                <w:bCs w:val="0"/>
                <w:color w:val="FFFFFF" w:themeColor="background1"/>
                <w:sz w:val="21"/>
                <w:szCs w:val="21"/>
                <w:lang w:bidi="ar"/>
                <w14:textFill>
                  <w14:solidFill>
                    <w14:schemeClr w14:val="bg1"/>
                  </w14:solidFill>
                </w14:textFill>
              </w:rPr>
              <w:t>服装与服饰设计</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top"/>
          </w:tcPr>
          <w:p>
            <w:pPr>
              <w:spacing w:before="100"/>
              <w:jc w:val="center"/>
              <w:textAlignment w:val="bottom"/>
              <w:rPr>
                <w:rFonts w:ascii="Times New Roman" w:hAnsi="Times New Roman" w:eastAsiaTheme="minorEastAsia" w:cstheme="minorBidi"/>
                <w:color w:val="000000"/>
                <w:sz w:val="21"/>
                <w:szCs w:val="21"/>
                <w:lang w:bidi="ar"/>
              </w:rPr>
            </w:pPr>
            <w:r>
              <w:rPr>
                <w:rFonts w:hint="eastAsia" w:ascii="Times New Roman" w:hAnsi="Times New Roman" w:eastAsiaTheme="minorEastAsia" w:cstheme="minorBidi"/>
                <w:color w:val="000000"/>
                <w:sz w:val="21"/>
                <w:szCs w:val="21"/>
                <w:lang w:bidi="ar"/>
              </w:rPr>
              <w:t>71</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top"/>
          </w:tcPr>
          <w:p>
            <w:pPr>
              <w:spacing w:before="100"/>
              <w:jc w:val="center"/>
              <w:textAlignment w:val="bottom"/>
              <w:rPr>
                <w:rFonts w:ascii="Times New Roman" w:hAnsi="Times New Roman" w:eastAsiaTheme="minorEastAsia" w:cstheme="minorBidi"/>
                <w:color w:val="000000"/>
                <w:sz w:val="21"/>
                <w:szCs w:val="21"/>
                <w:lang w:bidi="ar"/>
              </w:rPr>
            </w:pPr>
            <w:r>
              <w:rPr>
                <w:rFonts w:hint="eastAsia" w:ascii="Times New Roman" w:hAnsi="Times New Roman" w:eastAsiaTheme="minorEastAsia" w:cstheme="minorBidi"/>
                <w:color w:val="000000"/>
                <w:sz w:val="21"/>
                <w:szCs w:val="21"/>
                <w:lang w:bidi="ar"/>
              </w:rPr>
              <w:t>71</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top"/>
          </w:tcPr>
          <w:p>
            <w:pPr>
              <w:spacing w:before="100"/>
              <w:jc w:val="center"/>
              <w:textAlignment w:val="bottom"/>
              <w:rPr>
                <w:rFonts w:ascii="Times New Roman" w:hAnsi="Times New Roman" w:eastAsiaTheme="minorEastAsia" w:cstheme="minorBidi"/>
                <w:color w:val="000000"/>
                <w:sz w:val="21"/>
                <w:szCs w:val="21"/>
                <w:lang w:bidi="ar"/>
              </w:rPr>
            </w:pPr>
            <w:r>
              <w:rPr>
                <w:rFonts w:hint="eastAsia" w:ascii="Times New Roman" w:hAnsi="Times New Roman" w:eastAsiaTheme="minorEastAsia" w:cstheme="minorBidi"/>
                <w:color w:val="000000"/>
                <w:sz w:val="21"/>
                <w:szCs w:val="21"/>
                <w:lang w:bidi="ar"/>
              </w:rPr>
              <w:t>100.00%</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jc w:val="center"/>
        </w:trPr>
        <w:tc>
          <w:tcPr>
            <w:tcW w:w="2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top"/>
          </w:tcPr>
          <w:p>
            <w:pPr>
              <w:spacing w:before="100"/>
              <w:jc w:val="center"/>
              <w:textAlignment w:val="bottom"/>
              <w:rPr>
                <w:rFonts w:ascii="宋体" w:hAnsi="宋体" w:cs="宋体" w:eastAsiaTheme="minorEastAsia"/>
                <w:b/>
                <w:bCs w:val="0"/>
                <w:color w:val="FFFFFF" w:themeColor="background1"/>
                <w:sz w:val="21"/>
                <w:szCs w:val="21"/>
                <w:lang w:bidi="ar"/>
                <w14:textFill>
                  <w14:solidFill>
                    <w14:schemeClr w14:val="bg1"/>
                  </w14:solidFill>
                </w14:textFill>
              </w:rPr>
            </w:pPr>
            <w:r>
              <w:rPr>
                <w:rFonts w:hint="eastAsia" w:ascii="宋体" w:hAnsi="宋体" w:cs="宋体" w:eastAsiaTheme="minorEastAsia"/>
                <w:b/>
                <w:bCs w:val="0"/>
                <w:color w:val="FFFFFF" w:themeColor="background1"/>
                <w:sz w:val="21"/>
                <w:szCs w:val="21"/>
                <w:lang w:bidi="ar"/>
                <w14:textFill>
                  <w14:solidFill>
                    <w14:schemeClr w14:val="bg1"/>
                  </w14:solidFill>
                </w14:textFill>
              </w:rPr>
              <w:t>化学工程与工艺</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top"/>
          </w:tcPr>
          <w:p>
            <w:pPr>
              <w:spacing w:before="100"/>
              <w:jc w:val="center"/>
              <w:textAlignment w:val="bottom"/>
              <w:rPr>
                <w:rFonts w:ascii="Times New Roman" w:hAnsi="Times New Roman" w:eastAsiaTheme="minorEastAsia" w:cstheme="minorBidi"/>
                <w:color w:val="000000"/>
                <w:sz w:val="21"/>
                <w:szCs w:val="21"/>
                <w:lang w:bidi="ar"/>
              </w:rPr>
            </w:pPr>
            <w:r>
              <w:rPr>
                <w:rFonts w:hint="eastAsia" w:ascii="Times New Roman" w:hAnsi="Times New Roman" w:eastAsiaTheme="minorEastAsia" w:cstheme="minorBidi"/>
                <w:color w:val="000000"/>
                <w:sz w:val="21"/>
                <w:szCs w:val="21"/>
                <w:lang w:bidi="ar"/>
              </w:rPr>
              <w:t>65</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top"/>
          </w:tcPr>
          <w:p>
            <w:pPr>
              <w:spacing w:before="100"/>
              <w:jc w:val="center"/>
              <w:textAlignment w:val="bottom"/>
              <w:rPr>
                <w:rFonts w:ascii="Times New Roman" w:hAnsi="Times New Roman" w:eastAsiaTheme="minorEastAsia" w:cstheme="minorBidi"/>
                <w:color w:val="000000"/>
                <w:sz w:val="21"/>
                <w:szCs w:val="21"/>
                <w:lang w:bidi="ar"/>
              </w:rPr>
            </w:pPr>
            <w:r>
              <w:rPr>
                <w:rFonts w:hint="eastAsia" w:ascii="Times New Roman" w:hAnsi="Times New Roman" w:eastAsiaTheme="minorEastAsia" w:cstheme="minorBidi"/>
                <w:color w:val="000000"/>
                <w:sz w:val="21"/>
                <w:szCs w:val="21"/>
                <w:lang w:bidi="ar"/>
              </w:rPr>
              <w:t>65</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top"/>
          </w:tcPr>
          <w:p>
            <w:pPr>
              <w:spacing w:before="100"/>
              <w:jc w:val="center"/>
              <w:textAlignment w:val="bottom"/>
              <w:rPr>
                <w:rFonts w:ascii="Times New Roman" w:hAnsi="Times New Roman" w:eastAsiaTheme="minorEastAsia" w:cstheme="minorBidi"/>
                <w:color w:val="000000"/>
                <w:sz w:val="21"/>
                <w:szCs w:val="21"/>
                <w:lang w:bidi="ar"/>
              </w:rPr>
            </w:pPr>
            <w:r>
              <w:rPr>
                <w:rFonts w:hint="eastAsia" w:ascii="Times New Roman" w:hAnsi="Times New Roman" w:eastAsiaTheme="minorEastAsia" w:cstheme="minorBidi"/>
                <w:color w:val="000000"/>
                <w:sz w:val="21"/>
                <w:szCs w:val="21"/>
                <w:lang w:bidi="ar"/>
              </w:rPr>
              <w:t>100.00%</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jc w:val="center"/>
        </w:trPr>
        <w:tc>
          <w:tcPr>
            <w:tcW w:w="2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top"/>
          </w:tcPr>
          <w:p>
            <w:pPr>
              <w:spacing w:before="100"/>
              <w:jc w:val="center"/>
              <w:textAlignment w:val="bottom"/>
              <w:rPr>
                <w:rFonts w:ascii="宋体" w:hAnsi="宋体" w:cs="宋体" w:eastAsiaTheme="minorEastAsia"/>
                <w:b/>
                <w:bCs w:val="0"/>
                <w:color w:val="FFFFFF" w:themeColor="background1"/>
                <w:sz w:val="21"/>
                <w:szCs w:val="21"/>
                <w:lang w:bidi="ar"/>
                <w14:textFill>
                  <w14:solidFill>
                    <w14:schemeClr w14:val="bg1"/>
                  </w14:solidFill>
                </w14:textFill>
              </w:rPr>
            </w:pPr>
            <w:r>
              <w:rPr>
                <w:rFonts w:hint="eastAsia" w:ascii="宋体" w:hAnsi="宋体" w:cs="宋体" w:eastAsiaTheme="minorEastAsia"/>
                <w:b/>
                <w:bCs w:val="0"/>
                <w:color w:val="FFFFFF" w:themeColor="background1"/>
                <w:sz w:val="21"/>
                <w:szCs w:val="21"/>
                <w:lang w:bidi="ar"/>
                <w14:textFill>
                  <w14:solidFill>
                    <w14:schemeClr w14:val="bg1"/>
                  </w14:solidFill>
                </w14:textFill>
              </w:rPr>
              <w:t>高分子材料与工程</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top"/>
          </w:tcPr>
          <w:p>
            <w:pPr>
              <w:spacing w:before="100"/>
              <w:jc w:val="center"/>
              <w:textAlignment w:val="bottom"/>
              <w:rPr>
                <w:rFonts w:ascii="Times New Roman" w:hAnsi="Times New Roman" w:eastAsiaTheme="minorEastAsia" w:cstheme="minorBidi"/>
                <w:color w:val="000000"/>
                <w:sz w:val="21"/>
                <w:szCs w:val="21"/>
                <w:lang w:bidi="ar"/>
              </w:rPr>
            </w:pPr>
            <w:r>
              <w:rPr>
                <w:rFonts w:hint="eastAsia" w:ascii="Times New Roman" w:hAnsi="Times New Roman" w:eastAsiaTheme="minorEastAsia" w:cstheme="minorBidi"/>
                <w:color w:val="000000"/>
                <w:sz w:val="21"/>
                <w:szCs w:val="21"/>
                <w:lang w:bidi="ar"/>
              </w:rPr>
              <w:t>62</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top"/>
          </w:tcPr>
          <w:p>
            <w:pPr>
              <w:spacing w:before="100"/>
              <w:jc w:val="center"/>
              <w:textAlignment w:val="bottom"/>
              <w:rPr>
                <w:rFonts w:ascii="Times New Roman" w:hAnsi="Times New Roman" w:eastAsiaTheme="minorEastAsia" w:cstheme="minorBidi"/>
                <w:color w:val="000000"/>
                <w:sz w:val="21"/>
                <w:szCs w:val="21"/>
                <w:lang w:bidi="ar"/>
              </w:rPr>
            </w:pPr>
            <w:r>
              <w:rPr>
                <w:rFonts w:hint="eastAsia" w:ascii="Times New Roman" w:hAnsi="Times New Roman" w:eastAsiaTheme="minorEastAsia" w:cstheme="minorBidi"/>
                <w:color w:val="000000"/>
                <w:sz w:val="21"/>
                <w:szCs w:val="21"/>
                <w:lang w:bidi="ar"/>
              </w:rPr>
              <w:t>62</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top"/>
          </w:tcPr>
          <w:p>
            <w:pPr>
              <w:spacing w:before="100"/>
              <w:jc w:val="center"/>
              <w:textAlignment w:val="bottom"/>
              <w:rPr>
                <w:rFonts w:ascii="Times New Roman" w:hAnsi="Times New Roman" w:eastAsiaTheme="minorEastAsia" w:cstheme="minorBidi"/>
                <w:color w:val="000000"/>
                <w:sz w:val="21"/>
                <w:szCs w:val="21"/>
                <w:lang w:bidi="ar"/>
              </w:rPr>
            </w:pPr>
            <w:r>
              <w:rPr>
                <w:rFonts w:hint="eastAsia" w:ascii="Times New Roman" w:hAnsi="Times New Roman" w:eastAsiaTheme="minorEastAsia" w:cstheme="minorBidi"/>
                <w:color w:val="000000"/>
                <w:sz w:val="21"/>
                <w:szCs w:val="21"/>
                <w:lang w:bidi="ar"/>
              </w:rPr>
              <w:t>100.00%</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jc w:val="center"/>
        </w:trPr>
        <w:tc>
          <w:tcPr>
            <w:tcW w:w="2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top"/>
          </w:tcPr>
          <w:p>
            <w:pPr>
              <w:spacing w:before="100"/>
              <w:jc w:val="center"/>
              <w:textAlignment w:val="bottom"/>
              <w:rPr>
                <w:rFonts w:ascii="宋体" w:hAnsi="宋体" w:cs="宋体" w:eastAsiaTheme="minorEastAsia"/>
                <w:b/>
                <w:bCs w:val="0"/>
                <w:color w:val="FFFFFF" w:themeColor="background1"/>
                <w:sz w:val="21"/>
                <w:szCs w:val="21"/>
                <w:lang w:bidi="ar"/>
                <w14:textFill>
                  <w14:solidFill>
                    <w14:schemeClr w14:val="bg1"/>
                  </w14:solidFill>
                </w14:textFill>
              </w:rPr>
            </w:pPr>
            <w:r>
              <w:rPr>
                <w:rFonts w:hint="eastAsia" w:ascii="宋体" w:hAnsi="宋体" w:cs="宋体" w:eastAsiaTheme="minorEastAsia"/>
                <w:b/>
                <w:bCs w:val="0"/>
                <w:color w:val="FFFFFF" w:themeColor="background1"/>
                <w:sz w:val="21"/>
                <w:szCs w:val="21"/>
                <w:lang w:bidi="ar"/>
                <w14:textFill>
                  <w14:solidFill>
                    <w14:schemeClr w14:val="bg1"/>
                  </w14:solidFill>
                </w14:textFill>
              </w:rPr>
              <w:t>建筑电气与智能化</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top"/>
          </w:tcPr>
          <w:p>
            <w:pPr>
              <w:spacing w:before="100"/>
              <w:jc w:val="center"/>
              <w:textAlignment w:val="bottom"/>
              <w:rPr>
                <w:rFonts w:ascii="Times New Roman" w:hAnsi="Times New Roman" w:eastAsiaTheme="minorEastAsia" w:cstheme="minorBidi"/>
                <w:color w:val="000000"/>
                <w:sz w:val="21"/>
                <w:szCs w:val="21"/>
                <w:lang w:bidi="ar"/>
              </w:rPr>
            </w:pPr>
            <w:r>
              <w:rPr>
                <w:rFonts w:hint="eastAsia" w:ascii="Times New Roman" w:hAnsi="Times New Roman" w:eastAsiaTheme="minorEastAsia" w:cstheme="minorBidi"/>
                <w:color w:val="000000"/>
                <w:sz w:val="21"/>
                <w:szCs w:val="21"/>
                <w:lang w:bidi="ar"/>
              </w:rPr>
              <w:t>60</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top"/>
          </w:tcPr>
          <w:p>
            <w:pPr>
              <w:spacing w:before="100"/>
              <w:jc w:val="center"/>
              <w:textAlignment w:val="bottom"/>
              <w:rPr>
                <w:rFonts w:ascii="Times New Roman" w:hAnsi="Times New Roman" w:eastAsiaTheme="minorEastAsia" w:cstheme="minorBidi"/>
                <w:color w:val="000000"/>
                <w:sz w:val="21"/>
                <w:szCs w:val="21"/>
                <w:lang w:bidi="ar"/>
              </w:rPr>
            </w:pPr>
            <w:r>
              <w:rPr>
                <w:rFonts w:hint="eastAsia" w:ascii="Times New Roman" w:hAnsi="Times New Roman" w:eastAsiaTheme="minorEastAsia" w:cstheme="minorBidi"/>
                <w:color w:val="000000"/>
                <w:sz w:val="21"/>
                <w:szCs w:val="21"/>
                <w:lang w:bidi="ar"/>
              </w:rPr>
              <w:t>60</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top"/>
          </w:tcPr>
          <w:p>
            <w:pPr>
              <w:spacing w:before="100"/>
              <w:jc w:val="center"/>
              <w:textAlignment w:val="bottom"/>
              <w:rPr>
                <w:rFonts w:ascii="Times New Roman" w:hAnsi="Times New Roman" w:eastAsiaTheme="minorEastAsia" w:cstheme="minorBidi"/>
                <w:color w:val="000000"/>
                <w:sz w:val="21"/>
                <w:szCs w:val="21"/>
                <w:lang w:bidi="ar"/>
              </w:rPr>
            </w:pPr>
            <w:r>
              <w:rPr>
                <w:rFonts w:hint="eastAsia" w:ascii="Times New Roman" w:hAnsi="Times New Roman" w:eastAsiaTheme="minorEastAsia" w:cstheme="minorBidi"/>
                <w:color w:val="000000"/>
                <w:sz w:val="21"/>
                <w:szCs w:val="21"/>
                <w:lang w:bidi="ar"/>
              </w:rPr>
              <w:t>100.00%</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jc w:val="center"/>
        </w:trPr>
        <w:tc>
          <w:tcPr>
            <w:tcW w:w="2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top"/>
          </w:tcPr>
          <w:p>
            <w:pPr>
              <w:spacing w:before="100"/>
              <w:jc w:val="center"/>
              <w:textAlignment w:val="bottom"/>
              <w:rPr>
                <w:rFonts w:ascii="宋体" w:hAnsi="宋体" w:cs="宋体" w:eastAsiaTheme="minorEastAsia"/>
                <w:b/>
                <w:bCs w:val="0"/>
                <w:color w:val="FFFFFF" w:themeColor="background1"/>
                <w:sz w:val="21"/>
                <w:szCs w:val="21"/>
                <w:lang w:bidi="ar"/>
                <w14:textFill>
                  <w14:solidFill>
                    <w14:schemeClr w14:val="bg1"/>
                  </w14:solidFill>
                </w14:textFill>
              </w:rPr>
            </w:pPr>
            <w:r>
              <w:rPr>
                <w:rFonts w:hint="eastAsia" w:ascii="宋体" w:hAnsi="宋体" w:cs="宋体" w:eastAsiaTheme="minorEastAsia"/>
                <w:b/>
                <w:bCs w:val="0"/>
                <w:color w:val="FFFFFF" w:themeColor="background1"/>
                <w:sz w:val="21"/>
                <w:szCs w:val="21"/>
                <w:lang w:bidi="ar"/>
                <w14:textFill>
                  <w14:solidFill>
                    <w14:schemeClr w14:val="bg1"/>
                  </w14:solidFill>
                </w14:textFill>
              </w:rPr>
              <w:t>应用化学</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top"/>
          </w:tcPr>
          <w:p>
            <w:pPr>
              <w:spacing w:before="100"/>
              <w:jc w:val="center"/>
              <w:textAlignment w:val="bottom"/>
              <w:rPr>
                <w:rFonts w:ascii="Times New Roman" w:hAnsi="Times New Roman" w:eastAsiaTheme="minorEastAsia" w:cstheme="minorBidi"/>
                <w:color w:val="000000"/>
                <w:sz w:val="21"/>
                <w:szCs w:val="21"/>
                <w:lang w:bidi="ar"/>
              </w:rPr>
            </w:pPr>
            <w:r>
              <w:rPr>
                <w:rFonts w:hint="eastAsia" w:ascii="Times New Roman" w:hAnsi="Times New Roman" w:eastAsiaTheme="minorEastAsia" w:cstheme="minorBidi"/>
                <w:color w:val="000000"/>
                <w:sz w:val="21"/>
                <w:szCs w:val="21"/>
                <w:lang w:bidi="ar"/>
              </w:rPr>
              <w:t>59</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top"/>
          </w:tcPr>
          <w:p>
            <w:pPr>
              <w:spacing w:before="100"/>
              <w:jc w:val="center"/>
              <w:textAlignment w:val="bottom"/>
              <w:rPr>
                <w:rFonts w:ascii="Times New Roman" w:hAnsi="Times New Roman" w:eastAsiaTheme="minorEastAsia" w:cstheme="minorBidi"/>
                <w:color w:val="000000"/>
                <w:sz w:val="21"/>
                <w:szCs w:val="21"/>
                <w:lang w:bidi="ar"/>
              </w:rPr>
            </w:pPr>
            <w:r>
              <w:rPr>
                <w:rFonts w:hint="eastAsia" w:ascii="Times New Roman" w:hAnsi="Times New Roman" w:eastAsiaTheme="minorEastAsia" w:cstheme="minorBidi"/>
                <w:color w:val="000000"/>
                <w:sz w:val="21"/>
                <w:szCs w:val="21"/>
                <w:lang w:bidi="ar"/>
              </w:rPr>
              <w:t>59</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top"/>
          </w:tcPr>
          <w:p>
            <w:pPr>
              <w:spacing w:before="100"/>
              <w:jc w:val="center"/>
              <w:textAlignment w:val="bottom"/>
              <w:rPr>
                <w:rFonts w:ascii="Times New Roman" w:hAnsi="Times New Roman" w:eastAsiaTheme="minorEastAsia" w:cstheme="minorBidi"/>
                <w:color w:val="000000"/>
                <w:sz w:val="21"/>
                <w:szCs w:val="21"/>
                <w:lang w:bidi="ar"/>
              </w:rPr>
            </w:pPr>
            <w:r>
              <w:rPr>
                <w:rFonts w:hint="eastAsia" w:ascii="Times New Roman" w:hAnsi="Times New Roman" w:eastAsiaTheme="minorEastAsia" w:cstheme="minorBidi"/>
                <w:color w:val="000000"/>
                <w:sz w:val="21"/>
                <w:szCs w:val="21"/>
                <w:lang w:bidi="ar"/>
              </w:rPr>
              <w:t>100.00%</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jc w:val="center"/>
        </w:trPr>
        <w:tc>
          <w:tcPr>
            <w:tcW w:w="2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top"/>
          </w:tcPr>
          <w:p>
            <w:pPr>
              <w:spacing w:before="100"/>
              <w:jc w:val="center"/>
              <w:textAlignment w:val="bottom"/>
              <w:rPr>
                <w:rFonts w:ascii="宋体" w:hAnsi="宋体" w:cs="宋体" w:eastAsiaTheme="minorEastAsia"/>
                <w:b/>
                <w:bCs w:val="0"/>
                <w:color w:val="FFFFFF" w:themeColor="background1"/>
                <w:sz w:val="21"/>
                <w:szCs w:val="21"/>
                <w:lang w:bidi="ar"/>
                <w14:textFill>
                  <w14:solidFill>
                    <w14:schemeClr w14:val="bg1"/>
                  </w14:solidFill>
                </w14:textFill>
              </w:rPr>
            </w:pPr>
            <w:r>
              <w:rPr>
                <w:rFonts w:hint="eastAsia" w:ascii="宋体" w:hAnsi="宋体" w:cs="宋体" w:eastAsiaTheme="minorEastAsia"/>
                <w:b/>
                <w:bCs w:val="0"/>
                <w:color w:val="FFFFFF" w:themeColor="background1"/>
                <w:sz w:val="21"/>
                <w:szCs w:val="21"/>
                <w:lang w:bidi="ar"/>
                <w14:textFill>
                  <w14:solidFill>
                    <w14:schemeClr w14:val="bg1"/>
                  </w14:solidFill>
                </w14:textFill>
              </w:rPr>
              <w:t>光源与照明</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top"/>
          </w:tcPr>
          <w:p>
            <w:pPr>
              <w:spacing w:before="100"/>
              <w:jc w:val="center"/>
              <w:textAlignment w:val="bottom"/>
              <w:rPr>
                <w:rFonts w:ascii="Times New Roman" w:hAnsi="Times New Roman" w:eastAsiaTheme="minorEastAsia" w:cstheme="minorBidi"/>
                <w:color w:val="000000"/>
                <w:sz w:val="21"/>
                <w:szCs w:val="21"/>
                <w:lang w:bidi="ar"/>
              </w:rPr>
            </w:pPr>
            <w:r>
              <w:rPr>
                <w:rFonts w:hint="eastAsia" w:ascii="Times New Roman" w:hAnsi="Times New Roman" w:eastAsiaTheme="minorEastAsia" w:cstheme="minorBidi"/>
                <w:color w:val="000000"/>
                <w:sz w:val="21"/>
                <w:szCs w:val="21"/>
                <w:lang w:bidi="ar"/>
              </w:rPr>
              <w:t>58</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top"/>
          </w:tcPr>
          <w:p>
            <w:pPr>
              <w:spacing w:before="100"/>
              <w:jc w:val="center"/>
              <w:textAlignment w:val="bottom"/>
              <w:rPr>
                <w:rFonts w:ascii="Times New Roman" w:hAnsi="Times New Roman" w:eastAsiaTheme="minorEastAsia" w:cstheme="minorBidi"/>
                <w:color w:val="000000"/>
                <w:sz w:val="21"/>
                <w:szCs w:val="21"/>
                <w:lang w:bidi="ar"/>
              </w:rPr>
            </w:pPr>
            <w:r>
              <w:rPr>
                <w:rFonts w:hint="eastAsia" w:ascii="Times New Roman" w:hAnsi="Times New Roman" w:eastAsiaTheme="minorEastAsia" w:cstheme="minorBidi"/>
                <w:color w:val="000000"/>
                <w:sz w:val="21"/>
                <w:szCs w:val="21"/>
                <w:lang w:bidi="ar"/>
              </w:rPr>
              <w:t>58</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top"/>
          </w:tcPr>
          <w:p>
            <w:pPr>
              <w:spacing w:before="100"/>
              <w:jc w:val="center"/>
              <w:textAlignment w:val="bottom"/>
              <w:rPr>
                <w:rFonts w:ascii="Times New Roman" w:hAnsi="Times New Roman" w:eastAsiaTheme="minorEastAsia" w:cstheme="minorBidi"/>
                <w:color w:val="000000"/>
                <w:sz w:val="21"/>
                <w:szCs w:val="21"/>
                <w:lang w:bidi="ar"/>
              </w:rPr>
            </w:pPr>
            <w:r>
              <w:rPr>
                <w:rFonts w:hint="eastAsia" w:ascii="Times New Roman" w:hAnsi="Times New Roman" w:eastAsiaTheme="minorEastAsia" w:cstheme="minorBidi"/>
                <w:color w:val="000000"/>
                <w:sz w:val="21"/>
                <w:szCs w:val="21"/>
                <w:lang w:bidi="ar"/>
              </w:rPr>
              <w:t>100.00%</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jc w:val="center"/>
        </w:trPr>
        <w:tc>
          <w:tcPr>
            <w:tcW w:w="2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top"/>
          </w:tcPr>
          <w:p>
            <w:pPr>
              <w:spacing w:before="100"/>
              <w:jc w:val="center"/>
              <w:textAlignment w:val="bottom"/>
              <w:rPr>
                <w:rFonts w:ascii="宋体" w:hAnsi="宋体" w:cs="宋体" w:eastAsiaTheme="minorEastAsia"/>
                <w:b/>
                <w:bCs w:val="0"/>
                <w:color w:val="FFFFFF" w:themeColor="background1"/>
                <w:sz w:val="21"/>
                <w:szCs w:val="21"/>
                <w:lang w:bidi="ar"/>
                <w14:textFill>
                  <w14:solidFill>
                    <w14:schemeClr w14:val="bg1"/>
                  </w14:solidFill>
                </w14:textFill>
              </w:rPr>
            </w:pPr>
            <w:r>
              <w:rPr>
                <w:rFonts w:hint="eastAsia" w:ascii="宋体" w:hAnsi="宋体" w:cs="宋体" w:eastAsiaTheme="minorEastAsia"/>
                <w:b/>
                <w:bCs w:val="0"/>
                <w:color w:val="FFFFFF" w:themeColor="background1"/>
                <w:sz w:val="21"/>
                <w:szCs w:val="21"/>
                <w:lang w:bidi="ar"/>
                <w14:textFill>
                  <w14:solidFill>
                    <w14:schemeClr w14:val="bg1"/>
                  </w14:solidFill>
                </w14:textFill>
              </w:rPr>
              <w:t>休闲体育</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top"/>
          </w:tcPr>
          <w:p>
            <w:pPr>
              <w:spacing w:before="100"/>
              <w:jc w:val="center"/>
              <w:textAlignment w:val="bottom"/>
              <w:rPr>
                <w:rFonts w:ascii="Times New Roman" w:hAnsi="Times New Roman" w:eastAsiaTheme="minorEastAsia" w:cstheme="minorBidi"/>
                <w:color w:val="000000"/>
                <w:sz w:val="21"/>
                <w:szCs w:val="21"/>
                <w:lang w:bidi="ar"/>
              </w:rPr>
            </w:pPr>
            <w:r>
              <w:rPr>
                <w:rFonts w:hint="eastAsia" w:ascii="Times New Roman" w:hAnsi="Times New Roman" w:eastAsiaTheme="minorEastAsia" w:cstheme="minorBidi"/>
                <w:color w:val="000000"/>
                <w:sz w:val="21"/>
                <w:szCs w:val="21"/>
                <w:lang w:bidi="ar"/>
              </w:rPr>
              <w:t>57</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top"/>
          </w:tcPr>
          <w:p>
            <w:pPr>
              <w:spacing w:before="100"/>
              <w:jc w:val="center"/>
              <w:textAlignment w:val="bottom"/>
              <w:rPr>
                <w:rFonts w:ascii="Times New Roman" w:hAnsi="Times New Roman" w:eastAsiaTheme="minorEastAsia" w:cstheme="minorBidi"/>
                <w:color w:val="000000"/>
                <w:sz w:val="21"/>
                <w:szCs w:val="21"/>
                <w:lang w:bidi="ar"/>
              </w:rPr>
            </w:pPr>
            <w:r>
              <w:rPr>
                <w:rFonts w:hint="eastAsia" w:ascii="Times New Roman" w:hAnsi="Times New Roman" w:eastAsiaTheme="minorEastAsia" w:cstheme="minorBidi"/>
                <w:color w:val="000000"/>
                <w:sz w:val="21"/>
                <w:szCs w:val="21"/>
                <w:lang w:bidi="ar"/>
              </w:rPr>
              <w:t>57</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top"/>
          </w:tcPr>
          <w:p>
            <w:pPr>
              <w:spacing w:before="100"/>
              <w:jc w:val="center"/>
              <w:textAlignment w:val="bottom"/>
              <w:rPr>
                <w:rFonts w:ascii="Times New Roman" w:hAnsi="Times New Roman" w:eastAsiaTheme="minorEastAsia" w:cstheme="minorBidi"/>
                <w:color w:val="000000"/>
                <w:sz w:val="21"/>
                <w:szCs w:val="21"/>
                <w:lang w:bidi="ar"/>
              </w:rPr>
            </w:pPr>
            <w:r>
              <w:rPr>
                <w:rFonts w:hint="eastAsia" w:ascii="Times New Roman" w:hAnsi="Times New Roman" w:eastAsiaTheme="minorEastAsia" w:cstheme="minorBidi"/>
                <w:color w:val="000000"/>
                <w:sz w:val="21"/>
                <w:szCs w:val="21"/>
                <w:lang w:bidi="ar"/>
              </w:rPr>
              <w:t>100.00%</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jc w:val="center"/>
        </w:trPr>
        <w:tc>
          <w:tcPr>
            <w:tcW w:w="2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bottom"/>
          </w:tcPr>
          <w:p>
            <w:pPr>
              <w:spacing w:before="100"/>
              <w:jc w:val="center"/>
              <w:textAlignment w:val="bottom"/>
              <w:rPr>
                <w:rFonts w:ascii="Times New Roman" w:hAnsi="Times New Roman" w:eastAsiaTheme="minorEastAsia" w:cstheme="minorBidi"/>
                <w:b/>
                <w:bCs w:val="0"/>
                <w:color w:val="FFFFFF" w:themeColor="background1"/>
                <w:sz w:val="21"/>
                <w:szCs w:val="21"/>
                <w14:textFill>
                  <w14:solidFill>
                    <w14:schemeClr w14:val="bg1"/>
                  </w14:solidFill>
                </w14:textFill>
              </w:rPr>
            </w:pPr>
            <w:r>
              <w:rPr>
                <w:rFonts w:hint="eastAsia" w:ascii="宋体" w:hAnsi="宋体" w:cs="宋体" w:eastAsiaTheme="minorEastAsia"/>
                <w:b/>
                <w:bCs w:val="0"/>
                <w:color w:val="FFFFFF" w:themeColor="background1"/>
                <w:sz w:val="21"/>
                <w:szCs w:val="21"/>
                <w:lang w:bidi="ar"/>
                <w14:textFill>
                  <w14:solidFill>
                    <w14:schemeClr w14:val="bg1"/>
                  </w14:solidFill>
                </w14:textFill>
              </w:rPr>
              <w:t>体育教育</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152</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151</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99.34%</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jc w:val="center"/>
        </w:trPr>
        <w:tc>
          <w:tcPr>
            <w:tcW w:w="2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bottom"/>
          </w:tcPr>
          <w:p>
            <w:pPr>
              <w:spacing w:before="100"/>
              <w:jc w:val="center"/>
              <w:textAlignment w:val="bottom"/>
              <w:rPr>
                <w:rFonts w:ascii="Times New Roman" w:hAnsi="Times New Roman" w:eastAsiaTheme="minorEastAsia" w:cstheme="minorBidi"/>
                <w:b/>
                <w:bCs w:val="0"/>
                <w:color w:val="FFFFFF" w:themeColor="background1"/>
                <w:sz w:val="21"/>
                <w:szCs w:val="21"/>
                <w14:textFill>
                  <w14:solidFill>
                    <w14:schemeClr w14:val="bg1"/>
                  </w14:solidFill>
                </w14:textFill>
              </w:rPr>
            </w:pPr>
            <w:r>
              <w:rPr>
                <w:rFonts w:hint="eastAsia" w:ascii="宋体" w:hAnsi="宋体" w:cs="宋体" w:eastAsiaTheme="minorEastAsia"/>
                <w:b/>
                <w:bCs w:val="0"/>
                <w:color w:val="FFFFFF" w:themeColor="background1"/>
                <w:sz w:val="21"/>
                <w:szCs w:val="21"/>
                <w:lang w:bidi="ar"/>
                <w14:textFill>
                  <w14:solidFill>
                    <w14:schemeClr w14:val="bg1"/>
                  </w14:solidFill>
                </w14:textFill>
              </w:rPr>
              <w:t>汽车服务工程</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134</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133</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99.25%</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jc w:val="center"/>
        </w:trPr>
        <w:tc>
          <w:tcPr>
            <w:tcW w:w="2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bottom"/>
          </w:tcPr>
          <w:p>
            <w:pPr>
              <w:spacing w:before="100"/>
              <w:jc w:val="center"/>
              <w:textAlignment w:val="bottom"/>
              <w:rPr>
                <w:rFonts w:ascii="Times New Roman" w:hAnsi="Times New Roman" w:eastAsiaTheme="minorEastAsia" w:cstheme="minorBidi"/>
                <w:b/>
                <w:bCs w:val="0"/>
                <w:color w:val="FFFFFF" w:themeColor="background1"/>
                <w:sz w:val="21"/>
                <w:szCs w:val="21"/>
                <w14:textFill>
                  <w14:solidFill>
                    <w14:schemeClr w14:val="bg1"/>
                  </w14:solidFill>
                </w14:textFill>
              </w:rPr>
            </w:pPr>
            <w:r>
              <w:rPr>
                <w:rFonts w:hint="eastAsia" w:ascii="宋体" w:hAnsi="宋体" w:cs="宋体" w:eastAsiaTheme="minorEastAsia"/>
                <w:b/>
                <w:bCs w:val="0"/>
                <w:color w:val="FFFFFF" w:themeColor="background1"/>
                <w:sz w:val="21"/>
                <w:szCs w:val="21"/>
                <w:lang w:bidi="ar"/>
                <w14:textFill>
                  <w14:solidFill>
                    <w14:schemeClr w14:val="bg1"/>
                  </w14:solidFill>
                </w14:textFill>
              </w:rPr>
              <w:t>美术学</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102</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101</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99.02%</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jc w:val="center"/>
        </w:trPr>
        <w:tc>
          <w:tcPr>
            <w:tcW w:w="2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bottom"/>
          </w:tcPr>
          <w:p>
            <w:pPr>
              <w:spacing w:before="100"/>
              <w:jc w:val="center"/>
              <w:textAlignment w:val="bottom"/>
              <w:rPr>
                <w:rFonts w:ascii="Times New Roman" w:hAnsi="Times New Roman" w:eastAsiaTheme="minorEastAsia" w:cstheme="minorBidi"/>
                <w:b/>
                <w:bCs w:val="0"/>
                <w:color w:val="FFFFFF" w:themeColor="background1"/>
                <w:sz w:val="21"/>
                <w:szCs w:val="21"/>
                <w14:textFill>
                  <w14:solidFill>
                    <w14:schemeClr w14:val="bg1"/>
                  </w14:solidFill>
                </w14:textFill>
              </w:rPr>
            </w:pPr>
            <w:r>
              <w:rPr>
                <w:rFonts w:hint="eastAsia" w:ascii="宋体" w:hAnsi="宋体" w:cs="宋体" w:eastAsiaTheme="minorEastAsia"/>
                <w:b/>
                <w:bCs w:val="0"/>
                <w:color w:val="FFFFFF" w:themeColor="background1"/>
                <w:sz w:val="21"/>
                <w:szCs w:val="21"/>
                <w:lang w:bidi="ar"/>
                <w14:textFill>
                  <w14:solidFill>
                    <w14:schemeClr w14:val="bg1"/>
                  </w14:solidFill>
                </w14:textFill>
              </w:rPr>
              <w:t>机械设计制造及其自动化</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191</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189</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98.95%</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jc w:val="center"/>
        </w:trPr>
        <w:tc>
          <w:tcPr>
            <w:tcW w:w="2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bottom"/>
          </w:tcPr>
          <w:p>
            <w:pPr>
              <w:spacing w:before="100"/>
              <w:jc w:val="center"/>
              <w:textAlignment w:val="bottom"/>
              <w:rPr>
                <w:rFonts w:ascii="Times New Roman" w:hAnsi="Times New Roman" w:eastAsiaTheme="minorEastAsia" w:cstheme="minorBidi"/>
                <w:b/>
                <w:bCs w:val="0"/>
                <w:color w:val="FFFFFF" w:themeColor="background1"/>
                <w:sz w:val="21"/>
                <w:szCs w:val="21"/>
                <w14:textFill>
                  <w14:solidFill>
                    <w14:schemeClr w14:val="bg1"/>
                  </w14:solidFill>
                </w14:textFill>
              </w:rPr>
            </w:pPr>
            <w:r>
              <w:rPr>
                <w:rFonts w:hint="eastAsia" w:ascii="宋体" w:hAnsi="宋体" w:cs="宋体" w:eastAsiaTheme="minorEastAsia"/>
                <w:b/>
                <w:bCs w:val="0"/>
                <w:color w:val="FFFFFF" w:themeColor="background1"/>
                <w:sz w:val="21"/>
                <w:szCs w:val="21"/>
                <w:lang w:bidi="ar"/>
                <w14:textFill>
                  <w14:solidFill>
                    <w14:schemeClr w14:val="bg1"/>
                  </w14:solidFill>
                </w14:textFill>
              </w:rPr>
              <w:t>生物工程</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68</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67</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98.53%</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jc w:val="center"/>
        </w:trPr>
        <w:tc>
          <w:tcPr>
            <w:tcW w:w="2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bottom"/>
          </w:tcPr>
          <w:p>
            <w:pPr>
              <w:spacing w:before="100"/>
              <w:jc w:val="center"/>
              <w:textAlignment w:val="bottom"/>
              <w:rPr>
                <w:rFonts w:ascii="Times New Roman" w:hAnsi="Times New Roman" w:eastAsiaTheme="minorEastAsia" w:cstheme="minorBidi"/>
                <w:b/>
                <w:bCs w:val="0"/>
                <w:color w:val="FFFFFF" w:themeColor="background1"/>
                <w:sz w:val="21"/>
                <w:szCs w:val="21"/>
                <w14:textFill>
                  <w14:solidFill>
                    <w14:schemeClr w14:val="bg1"/>
                  </w14:solidFill>
                </w14:textFill>
              </w:rPr>
            </w:pPr>
            <w:r>
              <w:rPr>
                <w:rFonts w:hint="eastAsia" w:ascii="宋体" w:hAnsi="宋体" w:cs="宋体" w:eastAsiaTheme="minorEastAsia"/>
                <w:b/>
                <w:bCs w:val="0"/>
                <w:color w:val="FFFFFF" w:themeColor="background1"/>
                <w:sz w:val="21"/>
                <w:szCs w:val="21"/>
                <w:lang w:bidi="ar"/>
                <w14:textFill>
                  <w14:solidFill>
                    <w14:schemeClr w14:val="bg1"/>
                  </w14:solidFill>
                </w14:textFill>
              </w:rPr>
              <w:t>金融工程</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133</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131</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98.50%</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jc w:val="center"/>
        </w:trPr>
        <w:tc>
          <w:tcPr>
            <w:tcW w:w="2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bottom"/>
          </w:tcPr>
          <w:p>
            <w:pPr>
              <w:spacing w:before="100"/>
              <w:jc w:val="center"/>
              <w:textAlignment w:val="bottom"/>
              <w:rPr>
                <w:rFonts w:ascii="Times New Roman" w:hAnsi="Times New Roman" w:eastAsiaTheme="minorEastAsia" w:cstheme="minorBidi"/>
                <w:b/>
                <w:bCs w:val="0"/>
                <w:color w:val="FFFFFF" w:themeColor="background1"/>
                <w:sz w:val="21"/>
                <w:szCs w:val="21"/>
                <w14:textFill>
                  <w14:solidFill>
                    <w14:schemeClr w14:val="bg1"/>
                  </w14:solidFill>
                </w14:textFill>
              </w:rPr>
            </w:pPr>
            <w:r>
              <w:rPr>
                <w:rFonts w:hint="eastAsia" w:ascii="宋体" w:hAnsi="宋体" w:cs="宋体" w:eastAsiaTheme="minorEastAsia"/>
                <w:b/>
                <w:bCs w:val="0"/>
                <w:color w:val="FFFFFF" w:themeColor="background1"/>
                <w:sz w:val="21"/>
                <w:szCs w:val="21"/>
                <w:lang w:bidi="ar"/>
                <w14:textFill>
                  <w14:solidFill>
                    <w14:schemeClr w14:val="bg1"/>
                  </w14:solidFill>
                </w14:textFill>
              </w:rPr>
              <w:t>英语</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183</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180</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98.36%</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jc w:val="center"/>
        </w:trPr>
        <w:tc>
          <w:tcPr>
            <w:tcW w:w="2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bottom"/>
          </w:tcPr>
          <w:p>
            <w:pPr>
              <w:spacing w:before="100"/>
              <w:jc w:val="center"/>
              <w:textAlignment w:val="bottom"/>
              <w:rPr>
                <w:rFonts w:ascii="Times New Roman" w:hAnsi="Times New Roman" w:eastAsiaTheme="minorEastAsia" w:cstheme="minorBidi"/>
                <w:b/>
                <w:bCs w:val="0"/>
                <w:color w:val="FFFFFF" w:themeColor="background1"/>
                <w:sz w:val="21"/>
                <w:szCs w:val="21"/>
                <w14:textFill>
                  <w14:solidFill>
                    <w14:schemeClr w14:val="bg1"/>
                  </w14:solidFill>
                </w14:textFill>
              </w:rPr>
            </w:pPr>
            <w:r>
              <w:rPr>
                <w:rFonts w:hint="eastAsia" w:ascii="宋体" w:hAnsi="宋体" w:cs="宋体" w:eastAsiaTheme="minorEastAsia"/>
                <w:b/>
                <w:bCs w:val="0"/>
                <w:color w:val="FFFFFF" w:themeColor="background1"/>
                <w:sz w:val="21"/>
                <w:szCs w:val="21"/>
                <w:lang w:bidi="ar"/>
                <w14:textFill>
                  <w14:solidFill>
                    <w14:schemeClr w14:val="bg1"/>
                  </w14:solidFill>
                </w14:textFill>
              </w:rPr>
              <w:t>计算机科学与技术</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151</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148</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98.01%</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jc w:val="center"/>
        </w:trPr>
        <w:tc>
          <w:tcPr>
            <w:tcW w:w="2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bottom"/>
          </w:tcPr>
          <w:p>
            <w:pPr>
              <w:spacing w:before="100"/>
              <w:jc w:val="center"/>
              <w:textAlignment w:val="bottom"/>
              <w:rPr>
                <w:rFonts w:ascii="Times New Roman" w:hAnsi="Times New Roman" w:eastAsiaTheme="minorEastAsia" w:cstheme="minorBidi"/>
                <w:b/>
                <w:bCs w:val="0"/>
                <w:color w:val="FFFFFF" w:themeColor="background1"/>
                <w:sz w:val="21"/>
                <w:szCs w:val="21"/>
                <w14:textFill>
                  <w14:solidFill>
                    <w14:schemeClr w14:val="bg1"/>
                  </w14:solidFill>
                </w14:textFill>
              </w:rPr>
            </w:pPr>
            <w:r>
              <w:rPr>
                <w:rFonts w:hint="eastAsia" w:ascii="宋体" w:hAnsi="宋体" w:cs="宋体" w:eastAsiaTheme="minorEastAsia"/>
                <w:b/>
                <w:bCs w:val="0"/>
                <w:color w:val="FFFFFF" w:themeColor="background1"/>
                <w:sz w:val="21"/>
                <w:szCs w:val="21"/>
                <w:lang w:bidi="ar"/>
                <w14:textFill>
                  <w14:solidFill>
                    <w14:schemeClr w14:val="bg1"/>
                  </w14:solidFill>
                </w14:textFill>
              </w:rPr>
              <w:t>网络工程</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144</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141</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97.92%</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jc w:val="center"/>
        </w:trPr>
        <w:tc>
          <w:tcPr>
            <w:tcW w:w="2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bottom"/>
          </w:tcPr>
          <w:p>
            <w:pPr>
              <w:spacing w:before="100"/>
              <w:jc w:val="center"/>
              <w:textAlignment w:val="bottom"/>
              <w:rPr>
                <w:rFonts w:ascii="Times New Roman" w:hAnsi="Times New Roman" w:eastAsiaTheme="minorEastAsia" w:cstheme="minorBidi"/>
                <w:b/>
                <w:bCs w:val="0"/>
                <w:color w:val="FFFFFF" w:themeColor="background1"/>
                <w:sz w:val="21"/>
                <w:szCs w:val="21"/>
                <w14:textFill>
                  <w14:solidFill>
                    <w14:schemeClr w14:val="bg1"/>
                  </w14:solidFill>
                </w14:textFill>
              </w:rPr>
            </w:pPr>
            <w:r>
              <w:rPr>
                <w:rFonts w:hint="eastAsia" w:ascii="宋体" w:hAnsi="宋体" w:cs="宋体" w:eastAsiaTheme="minorEastAsia"/>
                <w:b/>
                <w:bCs w:val="0"/>
                <w:color w:val="FFFFFF" w:themeColor="background1"/>
                <w:sz w:val="21"/>
                <w:szCs w:val="21"/>
                <w:lang w:bidi="ar"/>
                <w14:textFill>
                  <w14:solidFill>
                    <w14:schemeClr w14:val="bg1"/>
                  </w14:solidFill>
                </w14:textFill>
              </w:rPr>
              <w:t>电子信息工程</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191</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187</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97.91%</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jc w:val="center"/>
        </w:trPr>
        <w:tc>
          <w:tcPr>
            <w:tcW w:w="2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bottom"/>
          </w:tcPr>
          <w:p>
            <w:pPr>
              <w:spacing w:before="100"/>
              <w:jc w:val="center"/>
              <w:textAlignment w:val="bottom"/>
              <w:rPr>
                <w:rFonts w:ascii="Times New Roman" w:hAnsi="Times New Roman" w:eastAsiaTheme="minorEastAsia" w:cstheme="minorBidi"/>
                <w:b/>
                <w:bCs w:val="0"/>
                <w:color w:val="FFFFFF" w:themeColor="background1"/>
                <w:sz w:val="21"/>
                <w:szCs w:val="21"/>
                <w14:textFill>
                  <w14:solidFill>
                    <w14:schemeClr w14:val="bg1"/>
                  </w14:solidFill>
                </w14:textFill>
              </w:rPr>
            </w:pPr>
            <w:r>
              <w:rPr>
                <w:rFonts w:hint="eastAsia" w:ascii="宋体" w:hAnsi="宋体" w:cs="宋体" w:eastAsiaTheme="minorEastAsia"/>
                <w:b/>
                <w:bCs w:val="0"/>
                <w:color w:val="FFFFFF" w:themeColor="background1"/>
                <w:sz w:val="21"/>
                <w:szCs w:val="21"/>
                <w:lang w:bidi="ar"/>
                <w14:textFill>
                  <w14:solidFill>
                    <w14:schemeClr w14:val="bg1"/>
                  </w14:solidFill>
                </w14:textFill>
              </w:rPr>
              <w:t>光电信息科学与工程</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46</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45</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97.83%</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jc w:val="center"/>
        </w:trPr>
        <w:tc>
          <w:tcPr>
            <w:tcW w:w="2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bottom"/>
          </w:tcPr>
          <w:p>
            <w:pPr>
              <w:spacing w:before="100"/>
              <w:jc w:val="center"/>
              <w:textAlignment w:val="bottom"/>
              <w:rPr>
                <w:rFonts w:asciiTheme="minorEastAsia" w:hAnsiTheme="minorEastAsia" w:eastAsiaTheme="minorEastAsia" w:cstheme="minorBidi"/>
                <w:b/>
                <w:bCs w:val="0"/>
                <w:color w:val="FFFFFF" w:themeColor="background1"/>
                <w:sz w:val="21"/>
                <w:szCs w:val="21"/>
                <w14:textFill>
                  <w14:solidFill>
                    <w14:schemeClr w14:val="bg1"/>
                  </w14:solidFill>
                </w14:textFill>
              </w:rPr>
            </w:pPr>
            <w:r>
              <w:rPr>
                <w:rFonts w:hint="eastAsia" w:cs="宋体" w:asciiTheme="minorEastAsia" w:hAnsiTheme="minorEastAsia" w:eastAsiaTheme="minorEastAsia"/>
                <w:b/>
                <w:bCs w:val="0"/>
                <w:color w:val="FFFFFF" w:themeColor="background1"/>
                <w:sz w:val="21"/>
                <w:szCs w:val="21"/>
                <w:lang w:bidi="ar"/>
                <w14:textFill>
                  <w14:solidFill>
                    <w14:schemeClr w14:val="bg1"/>
                  </w14:solidFill>
                </w14:textFill>
              </w:rPr>
              <w:t>通信工程</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152</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148</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97.37%</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jc w:val="center"/>
        </w:trPr>
        <w:tc>
          <w:tcPr>
            <w:tcW w:w="2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bottom"/>
          </w:tcPr>
          <w:p>
            <w:pPr>
              <w:spacing w:before="100"/>
              <w:jc w:val="center"/>
              <w:textAlignment w:val="bottom"/>
              <w:rPr>
                <w:rFonts w:asciiTheme="minorEastAsia" w:hAnsiTheme="minorEastAsia" w:eastAsiaTheme="minorEastAsia" w:cstheme="minorBidi"/>
                <w:b/>
                <w:bCs w:val="0"/>
                <w:color w:val="FFFFFF" w:themeColor="background1"/>
                <w:sz w:val="21"/>
                <w:szCs w:val="21"/>
                <w14:textFill>
                  <w14:solidFill>
                    <w14:schemeClr w14:val="bg1"/>
                  </w14:solidFill>
                </w14:textFill>
              </w:rPr>
            </w:pPr>
            <w:r>
              <w:rPr>
                <w:rFonts w:hint="eastAsia" w:cs="宋体" w:asciiTheme="minorEastAsia" w:hAnsiTheme="minorEastAsia" w:eastAsiaTheme="minorEastAsia"/>
                <w:b/>
                <w:bCs w:val="0"/>
                <w:color w:val="FFFFFF" w:themeColor="background1"/>
                <w:sz w:val="21"/>
                <w:szCs w:val="21"/>
                <w:lang w:bidi="ar"/>
                <w14:textFill>
                  <w14:solidFill>
                    <w14:schemeClr w14:val="bg1"/>
                  </w14:solidFill>
                </w14:textFill>
              </w:rPr>
              <w:t>材料成型及控制工程</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72</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70</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97.22%</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jc w:val="center"/>
        </w:trPr>
        <w:tc>
          <w:tcPr>
            <w:tcW w:w="2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bottom"/>
          </w:tcPr>
          <w:p>
            <w:pPr>
              <w:spacing w:before="100"/>
              <w:jc w:val="center"/>
              <w:textAlignment w:val="bottom"/>
              <w:rPr>
                <w:rFonts w:asciiTheme="minorEastAsia" w:hAnsiTheme="minorEastAsia" w:eastAsiaTheme="minorEastAsia" w:cstheme="minorBidi"/>
                <w:b/>
                <w:bCs w:val="0"/>
                <w:color w:val="FFFFFF" w:themeColor="background1"/>
                <w:sz w:val="21"/>
                <w:szCs w:val="21"/>
                <w14:textFill>
                  <w14:solidFill>
                    <w14:schemeClr w14:val="bg1"/>
                  </w14:solidFill>
                </w14:textFill>
              </w:rPr>
            </w:pPr>
            <w:r>
              <w:rPr>
                <w:rFonts w:hint="eastAsia" w:cs="宋体" w:asciiTheme="minorEastAsia" w:hAnsiTheme="minorEastAsia" w:eastAsiaTheme="minorEastAsia"/>
                <w:b/>
                <w:bCs w:val="0"/>
                <w:color w:val="FFFFFF" w:themeColor="background1"/>
                <w:sz w:val="21"/>
                <w:szCs w:val="21"/>
                <w:lang w:bidi="ar"/>
                <w14:textFill>
                  <w14:solidFill>
                    <w14:schemeClr w14:val="bg1"/>
                  </w14:solidFill>
                </w14:textFill>
              </w:rPr>
              <w:t>园林</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69</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67</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97.10%</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jc w:val="center"/>
        </w:trPr>
        <w:tc>
          <w:tcPr>
            <w:tcW w:w="2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bottom"/>
          </w:tcPr>
          <w:p>
            <w:pPr>
              <w:spacing w:before="100"/>
              <w:jc w:val="center"/>
              <w:textAlignment w:val="bottom"/>
              <w:rPr>
                <w:rFonts w:asciiTheme="minorEastAsia" w:hAnsiTheme="minorEastAsia" w:eastAsiaTheme="minorEastAsia" w:cstheme="minorBidi"/>
                <w:b/>
                <w:bCs w:val="0"/>
                <w:color w:val="FFFFFF" w:themeColor="background1"/>
                <w:sz w:val="21"/>
                <w:szCs w:val="21"/>
                <w14:textFill>
                  <w14:solidFill>
                    <w14:schemeClr w14:val="bg1"/>
                  </w14:solidFill>
                </w14:textFill>
              </w:rPr>
            </w:pPr>
            <w:r>
              <w:rPr>
                <w:rFonts w:hint="eastAsia" w:cs="宋体" w:asciiTheme="minorEastAsia" w:hAnsiTheme="minorEastAsia" w:eastAsiaTheme="minorEastAsia"/>
                <w:b/>
                <w:bCs w:val="0"/>
                <w:color w:val="FFFFFF" w:themeColor="background1"/>
                <w:sz w:val="21"/>
                <w:szCs w:val="21"/>
                <w:lang w:bidi="ar"/>
                <w14:textFill>
                  <w14:solidFill>
                    <w14:schemeClr w14:val="bg1"/>
                  </w14:solidFill>
                </w14:textFill>
              </w:rPr>
              <w:t>播音与主持艺术</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34</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33</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97.06%</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jc w:val="center"/>
        </w:trPr>
        <w:tc>
          <w:tcPr>
            <w:tcW w:w="2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bottom"/>
          </w:tcPr>
          <w:p>
            <w:pPr>
              <w:spacing w:before="100"/>
              <w:jc w:val="center"/>
              <w:textAlignment w:val="bottom"/>
              <w:rPr>
                <w:rFonts w:asciiTheme="minorEastAsia" w:hAnsiTheme="minorEastAsia" w:eastAsiaTheme="minorEastAsia" w:cstheme="minorBidi"/>
                <w:b/>
                <w:bCs w:val="0"/>
                <w:color w:val="FFFFFF" w:themeColor="background1"/>
                <w:sz w:val="21"/>
                <w:szCs w:val="21"/>
                <w14:textFill>
                  <w14:solidFill>
                    <w14:schemeClr w14:val="bg1"/>
                  </w14:solidFill>
                </w14:textFill>
              </w:rPr>
            </w:pPr>
            <w:r>
              <w:rPr>
                <w:rFonts w:hint="eastAsia" w:cs="宋体" w:asciiTheme="minorEastAsia" w:hAnsiTheme="minorEastAsia" w:eastAsiaTheme="minorEastAsia"/>
                <w:b/>
                <w:bCs w:val="0"/>
                <w:color w:val="FFFFFF" w:themeColor="background1"/>
                <w:sz w:val="21"/>
                <w:szCs w:val="21"/>
                <w:lang w:bidi="ar"/>
                <w14:textFill>
                  <w14:solidFill>
                    <w14:schemeClr w14:val="bg1"/>
                  </w14:solidFill>
                </w14:textFill>
              </w:rPr>
              <w:t>药物制剂</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94</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91</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96.81%</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jc w:val="center"/>
        </w:trPr>
        <w:tc>
          <w:tcPr>
            <w:tcW w:w="2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bottom"/>
          </w:tcPr>
          <w:p>
            <w:pPr>
              <w:spacing w:before="100"/>
              <w:jc w:val="center"/>
              <w:textAlignment w:val="bottom"/>
              <w:rPr>
                <w:rFonts w:asciiTheme="minorEastAsia" w:hAnsiTheme="minorEastAsia" w:eastAsiaTheme="minorEastAsia" w:cstheme="minorBidi"/>
                <w:b/>
                <w:bCs w:val="0"/>
                <w:color w:val="FFFFFF" w:themeColor="background1"/>
                <w:sz w:val="21"/>
                <w:szCs w:val="21"/>
                <w14:textFill>
                  <w14:solidFill>
                    <w14:schemeClr w14:val="bg1"/>
                  </w14:solidFill>
                </w14:textFill>
              </w:rPr>
            </w:pPr>
            <w:r>
              <w:rPr>
                <w:rFonts w:hint="eastAsia" w:cs="宋体" w:asciiTheme="minorEastAsia" w:hAnsiTheme="minorEastAsia" w:eastAsiaTheme="minorEastAsia"/>
                <w:b/>
                <w:bCs w:val="0"/>
                <w:color w:val="FFFFFF" w:themeColor="background1"/>
                <w:sz w:val="21"/>
                <w:szCs w:val="21"/>
                <w:lang w:bidi="ar"/>
                <w14:textFill>
                  <w14:solidFill>
                    <w14:schemeClr w14:val="bg1"/>
                  </w14:solidFill>
                </w14:textFill>
              </w:rPr>
              <w:t>物流管理</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168</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162</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96.43%</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jc w:val="center"/>
        </w:trPr>
        <w:tc>
          <w:tcPr>
            <w:tcW w:w="2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bottom"/>
          </w:tcPr>
          <w:p>
            <w:pPr>
              <w:spacing w:before="100"/>
              <w:jc w:val="center"/>
              <w:textAlignment w:val="bottom"/>
              <w:rPr>
                <w:rFonts w:asciiTheme="minorEastAsia" w:hAnsiTheme="minorEastAsia" w:eastAsiaTheme="minorEastAsia" w:cstheme="minorBidi"/>
                <w:b/>
                <w:bCs w:val="0"/>
                <w:color w:val="FFFFFF" w:themeColor="background1"/>
                <w:sz w:val="21"/>
                <w:szCs w:val="21"/>
                <w14:textFill>
                  <w14:solidFill>
                    <w14:schemeClr w14:val="bg1"/>
                  </w14:solidFill>
                </w14:textFill>
              </w:rPr>
            </w:pPr>
            <w:r>
              <w:rPr>
                <w:rFonts w:hint="eastAsia" w:cs="宋体" w:asciiTheme="minorEastAsia" w:hAnsiTheme="minorEastAsia" w:eastAsiaTheme="minorEastAsia"/>
                <w:b/>
                <w:bCs w:val="0"/>
                <w:color w:val="FFFFFF" w:themeColor="background1"/>
                <w:sz w:val="21"/>
                <w:szCs w:val="21"/>
                <w:lang w:bidi="ar"/>
                <w14:textFill>
                  <w14:solidFill>
                    <w14:schemeClr w14:val="bg1"/>
                  </w14:solidFill>
                </w14:textFill>
              </w:rPr>
              <w:t>视觉传达设计</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84</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81</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96.43%</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jc w:val="center"/>
        </w:trPr>
        <w:tc>
          <w:tcPr>
            <w:tcW w:w="2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bottom"/>
          </w:tcPr>
          <w:p>
            <w:pPr>
              <w:spacing w:before="100"/>
              <w:jc w:val="center"/>
              <w:textAlignment w:val="bottom"/>
              <w:rPr>
                <w:rFonts w:asciiTheme="minorEastAsia" w:hAnsiTheme="minorEastAsia" w:eastAsiaTheme="minorEastAsia" w:cstheme="minorBidi"/>
                <w:b/>
                <w:bCs w:val="0"/>
                <w:color w:val="FFFFFF" w:themeColor="background1"/>
                <w:sz w:val="21"/>
                <w:szCs w:val="21"/>
                <w14:textFill>
                  <w14:solidFill>
                    <w14:schemeClr w14:val="bg1"/>
                  </w14:solidFill>
                </w14:textFill>
              </w:rPr>
            </w:pPr>
            <w:r>
              <w:rPr>
                <w:rFonts w:hint="eastAsia" w:cs="宋体" w:asciiTheme="minorEastAsia" w:hAnsiTheme="minorEastAsia" w:eastAsiaTheme="minorEastAsia"/>
                <w:b/>
                <w:bCs w:val="0"/>
                <w:color w:val="FFFFFF" w:themeColor="background1"/>
                <w:sz w:val="21"/>
                <w:szCs w:val="21"/>
                <w:lang w:bidi="ar"/>
                <w14:textFill>
                  <w14:solidFill>
                    <w14:schemeClr w14:val="bg1"/>
                  </w14:solidFill>
                </w14:textFill>
              </w:rPr>
              <w:t>法学</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110</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106</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96.36%</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jc w:val="center"/>
        </w:trPr>
        <w:tc>
          <w:tcPr>
            <w:tcW w:w="2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bottom"/>
          </w:tcPr>
          <w:p>
            <w:pPr>
              <w:spacing w:before="100"/>
              <w:jc w:val="center"/>
              <w:textAlignment w:val="bottom"/>
              <w:rPr>
                <w:rFonts w:asciiTheme="minorEastAsia" w:hAnsiTheme="minorEastAsia" w:eastAsiaTheme="minorEastAsia" w:cstheme="minorBidi"/>
                <w:b/>
                <w:bCs w:val="0"/>
                <w:color w:val="FFFFFF" w:themeColor="background1"/>
                <w:sz w:val="21"/>
                <w:szCs w:val="21"/>
                <w14:textFill>
                  <w14:solidFill>
                    <w14:schemeClr w14:val="bg1"/>
                  </w14:solidFill>
                </w14:textFill>
              </w:rPr>
            </w:pPr>
            <w:r>
              <w:rPr>
                <w:rFonts w:hint="eastAsia" w:cs="宋体" w:asciiTheme="minorEastAsia" w:hAnsiTheme="minorEastAsia" w:eastAsiaTheme="minorEastAsia"/>
                <w:b/>
                <w:bCs w:val="0"/>
                <w:color w:val="FFFFFF" w:themeColor="background1"/>
                <w:sz w:val="21"/>
                <w:szCs w:val="21"/>
                <w:lang w:bidi="ar"/>
                <w14:textFill>
                  <w14:solidFill>
                    <w14:schemeClr w14:val="bg1"/>
                  </w14:solidFill>
                </w14:textFill>
              </w:rPr>
              <w:t>电气工程及其自动化</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187</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180</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96.26%</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jc w:val="center"/>
        </w:trPr>
        <w:tc>
          <w:tcPr>
            <w:tcW w:w="2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bottom"/>
          </w:tcPr>
          <w:p>
            <w:pPr>
              <w:spacing w:before="100"/>
              <w:jc w:val="center"/>
              <w:textAlignment w:val="bottom"/>
              <w:rPr>
                <w:rFonts w:asciiTheme="minorEastAsia" w:hAnsiTheme="minorEastAsia" w:eastAsiaTheme="minorEastAsia" w:cstheme="minorBidi"/>
                <w:b/>
                <w:bCs w:val="0"/>
                <w:color w:val="FFFFFF" w:themeColor="background1"/>
                <w:sz w:val="21"/>
                <w:szCs w:val="21"/>
                <w14:textFill>
                  <w14:solidFill>
                    <w14:schemeClr w14:val="bg1"/>
                  </w14:solidFill>
                </w14:textFill>
              </w:rPr>
            </w:pPr>
            <w:r>
              <w:rPr>
                <w:rFonts w:hint="eastAsia" w:cs="宋体" w:asciiTheme="minorEastAsia" w:hAnsiTheme="minorEastAsia" w:eastAsiaTheme="minorEastAsia"/>
                <w:b/>
                <w:bCs w:val="0"/>
                <w:color w:val="FFFFFF" w:themeColor="background1"/>
                <w:sz w:val="21"/>
                <w:szCs w:val="21"/>
                <w:lang w:bidi="ar"/>
                <w14:textFill>
                  <w14:solidFill>
                    <w14:schemeClr w14:val="bg1"/>
                  </w14:solidFill>
                </w14:textFill>
              </w:rPr>
              <w:t>食品质量与安全</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52</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50</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96.15%</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jc w:val="center"/>
        </w:trPr>
        <w:tc>
          <w:tcPr>
            <w:tcW w:w="2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bottom"/>
          </w:tcPr>
          <w:p>
            <w:pPr>
              <w:spacing w:before="100"/>
              <w:jc w:val="center"/>
              <w:textAlignment w:val="bottom"/>
              <w:rPr>
                <w:rFonts w:asciiTheme="minorEastAsia" w:hAnsiTheme="minorEastAsia" w:eastAsiaTheme="minorEastAsia" w:cstheme="minorBidi"/>
                <w:b/>
                <w:bCs w:val="0"/>
                <w:color w:val="FFFFFF" w:themeColor="background1"/>
                <w:sz w:val="21"/>
                <w:szCs w:val="21"/>
                <w14:textFill>
                  <w14:solidFill>
                    <w14:schemeClr w14:val="bg1"/>
                  </w14:solidFill>
                </w14:textFill>
              </w:rPr>
            </w:pPr>
            <w:r>
              <w:rPr>
                <w:rFonts w:hint="eastAsia" w:cs="宋体" w:asciiTheme="minorEastAsia" w:hAnsiTheme="minorEastAsia" w:eastAsiaTheme="minorEastAsia"/>
                <w:b/>
                <w:bCs w:val="0"/>
                <w:color w:val="FFFFFF" w:themeColor="background1"/>
                <w:sz w:val="21"/>
                <w:szCs w:val="21"/>
                <w:lang w:bidi="ar"/>
                <w14:textFill>
                  <w14:solidFill>
                    <w14:schemeClr w14:val="bg1"/>
                  </w14:solidFill>
                </w14:textFill>
              </w:rPr>
              <w:t>电子信息科学与技术</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101</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97</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96.04%</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jc w:val="center"/>
        </w:trPr>
        <w:tc>
          <w:tcPr>
            <w:tcW w:w="2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bottom"/>
          </w:tcPr>
          <w:p>
            <w:pPr>
              <w:spacing w:before="100"/>
              <w:jc w:val="center"/>
              <w:textAlignment w:val="bottom"/>
              <w:rPr>
                <w:rFonts w:asciiTheme="minorEastAsia" w:hAnsiTheme="minorEastAsia" w:eastAsiaTheme="minorEastAsia" w:cstheme="minorBidi"/>
                <w:b/>
                <w:bCs w:val="0"/>
                <w:color w:val="FFFFFF" w:themeColor="background1"/>
                <w:sz w:val="21"/>
                <w:szCs w:val="21"/>
                <w14:textFill>
                  <w14:solidFill>
                    <w14:schemeClr w14:val="bg1"/>
                  </w14:solidFill>
                </w14:textFill>
              </w:rPr>
            </w:pPr>
            <w:r>
              <w:rPr>
                <w:rFonts w:hint="eastAsia" w:cs="宋体" w:asciiTheme="minorEastAsia" w:hAnsiTheme="minorEastAsia" w:eastAsiaTheme="minorEastAsia"/>
                <w:b/>
                <w:bCs w:val="0"/>
                <w:color w:val="FFFFFF" w:themeColor="background1"/>
                <w:sz w:val="21"/>
                <w:szCs w:val="21"/>
                <w:lang w:bidi="ar"/>
                <w14:textFill>
                  <w14:solidFill>
                    <w14:schemeClr w14:val="bg1"/>
                  </w14:solidFill>
                </w14:textFill>
              </w:rPr>
              <w:t>经济统计学</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49</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47</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95.92%</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jc w:val="center"/>
        </w:trPr>
        <w:tc>
          <w:tcPr>
            <w:tcW w:w="2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bottom"/>
          </w:tcPr>
          <w:p>
            <w:pPr>
              <w:spacing w:before="100"/>
              <w:jc w:val="center"/>
              <w:textAlignment w:val="bottom"/>
              <w:rPr>
                <w:rFonts w:asciiTheme="minorEastAsia" w:hAnsiTheme="minorEastAsia" w:eastAsiaTheme="minorEastAsia" w:cstheme="minorBidi"/>
                <w:b/>
                <w:bCs w:val="0"/>
                <w:color w:val="FFFFFF" w:themeColor="background1"/>
                <w:sz w:val="21"/>
                <w:szCs w:val="21"/>
                <w14:textFill>
                  <w14:solidFill>
                    <w14:schemeClr w14:val="bg1"/>
                  </w14:solidFill>
                </w14:textFill>
              </w:rPr>
            </w:pPr>
            <w:r>
              <w:rPr>
                <w:rFonts w:hint="eastAsia" w:cs="宋体" w:asciiTheme="minorEastAsia" w:hAnsiTheme="minorEastAsia" w:eastAsiaTheme="minorEastAsia"/>
                <w:b/>
                <w:bCs w:val="0"/>
                <w:color w:val="FFFFFF" w:themeColor="background1"/>
                <w:sz w:val="21"/>
                <w:szCs w:val="21"/>
                <w:lang w:bidi="ar"/>
                <w14:textFill>
                  <w14:solidFill>
                    <w14:schemeClr w14:val="bg1"/>
                  </w14:solidFill>
                </w14:textFill>
              </w:rPr>
              <w:t>土木工程</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223</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213</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95.52%</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jc w:val="center"/>
        </w:trPr>
        <w:tc>
          <w:tcPr>
            <w:tcW w:w="2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bottom"/>
          </w:tcPr>
          <w:p>
            <w:pPr>
              <w:spacing w:before="100"/>
              <w:jc w:val="center"/>
              <w:textAlignment w:val="bottom"/>
              <w:rPr>
                <w:rFonts w:asciiTheme="minorEastAsia" w:hAnsiTheme="minorEastAsia" w:eastAsiaTheme="minorEastAsia" w:cstheme="minorBidi"/>
                <w:b/>
                <w:bCs w:val="0"/>
                <w:color w:val="FFFFFF" w:themeColor="background1"/>
                <w:sz w:val="21"/>
                <w:szCs w:val="21"/>
                <w14:textFill>
                  <w14:solidFill>
                    <w14:schemeClr w14:val="bg1"/>
                  </w14:solidFill>
                </w14:textFill>
              </w:rPr>
            </w:pPr>
            <w:r>
              <w:rPr>
                <w:rFonts w:hint="eastAsia" w:cs="宋体" w:asciiTheme="minorEastAsia" w:hAnsiTheme="minorEastAsia" w:eastAsiaTheme="minorEastAsia"/>
                <w:b/>
                <w:bCs w:val="0"/>
                <w:color w:val="FFFFFF" w:themeColor="background1"/>
                <w:sz w:val="21"/>
                <w:szCs w:val="21"/>
                <w:lang w:bidi="ar"/>
                <w14:textFill>
                  <w14:solidFill>
                    <w14:schemeClr w14:val="bg1"/>
                  </w14:solidFill>
                </w14:textFill>
              </w:rPr>
              <w:t>音乐学</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110</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105</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95.45%</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jc w:val="center"/>
        </w:trPr>
        <w:tc>
          <w:tcPr>
            <w:tcW w:w="2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bottom"/>
          </w:tcPr>
          <w:p>
            <w:pPr>
              <w:spacing w:before="100"/>
              <w:jc w:val="center"/>
              <w:textAlignment w:val="bottom"/>
              <w:rPr>
                <w:rFonts w:asciiTheme="minorEastAsia" w:hAnsiTheme="minorEastAsia" w:eastAsiaTheme="minorEastAsia" w:cstheme="minorBidi"/>
                <w:b/>
                <w:bCs w:val="0"/>
                <w:color w:val="FFFFFF" w:themeColor="background1"/>
                <w:sz w:val="21"/>
                <w:szCs w:val="21"/>
                <w14:textFill>
                  <w14:solidFill>
                    <w14:schemeClr w14:val="bg1"/>
                  </w14:solidFill>
                </w14:textFill>
              </w:rPr>
            </w:pPr>
            <w:r>
              <w:rPr>
                <w:rFonts w:hint="eastAsia" w:cs="宋体" w:asciiTheme="minorEastAsia" w:hAnsiTheme="minorEastAsia" w:eastAsiaTheme="minorEastAsia"/>
                <w:b/>
                <w:bCs w:val="0"/>
                <w:color w:val="FFFFFF" w:themeColor="background1"/>
                <w:sz w:val="21"/>
                <w:szCs w:val="21"/>
                <w:lang w:bidi="ar"/>
                <w14:textFill>
                  <w14:solidFill>
                    <w14:schemeClr w14:val="bg1"/>
                  </w14:solidFill>
                </w14:textFill>
              </w:rPr>
              <w:t>网络与新媒体</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76</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72</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94.74%</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jc w:val="center"/>
        </w:trPr>
        <w:tc>
          <w:tcPr>
            <w:tcW w:w="2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bottom"/>
          </w:tcPr>
          <w:p>
            <w:pPr>
              <w:spacing w:before="100"/>
              <w:jc w:val="center"/>
              <w:textAlignment w:val="bottom"/>
              <w:rPr>
                <w:rFonts w:asciiTheme="minorEastAsia" w:hAnsiTheme="minorEastAsia" w:eastAsiaTheme="minorEastAsia" w:cstheme="minorBidi"/>
                <w:b/>
                <w:bCs w:val="0"/>
                <w:color w:val="FFFFFF" w:themeColor="background1"/>
                <w:sz w:val="21"/>
                <w:szCs w:val="21"/>
                <w14:textFill>
                  <w14:solidFill>
                    <w14:schemeClr w14:val="bg1"/>
                  </w14:solidFill>
                </w14:textFill>
              </w:rPr>
            </w:pPr>
            <w:r>
              <w:rPr>
                <w:rFonts w:hint="eastAsia" w:cs="宋体" w:asciiTheme="minorEastAsia" w:hAnsiTheme="minorEastAsia" w:eastAsiaTheme="minorEastAsia"/>
                <w:b/>
                <w:bCs w:val="0"/>
                <w:color w:val="FFFFFF" w:themeColor="background1"/>
                <w:sz w:val="21"/>
                <w:szCs w:val="21"/>
                <w:lang w:bidi="ar"/>
                <w14:textFill>
                  <w14:solidFill>
                    <w14:schemeClr w14:val="bg1"/>
                  </w14:solidFill>
                </w14:textFill>
              </w:rPr>
              <w:t>经济与金融</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109</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103</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94.50%</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jc w:val="center"/>
        </w:trPr>
        <w:tc>
          <w:tcPr>
            <w:tcW w:w="2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bottom"/>
          </w:tcPr>
          <w:p>
            <w:pPr>
              <w:spacing w:before="100"/>
              <w:jc w:val="center"/>
              <w:textAlignment w:val="bottom"/>
              <w:rPr>
                <w:rFonts w:asciiTheme="minorEastAsia" w:hAnsiTheme="minorEastAsia" w:eastAsiaTheme="minorEastAsia" w:cstheme="minorBidi"/>
                <w:b/>
                <w:bCs w:val="0"/>
                <w:color w:val="FFFFFF" w:themeColor="background1"/>
                <w:sz w:val="21"/>
                <w:szCs w:val="21"/>
                <w14:textFill>
                  <w14:solidFill>
                    <w14:schemeClr w14:val="bg1"/>
                  </w14:solidFill>
                </w14:textFill>
              </w:rPr>
            </w:pPr>
            <w:r>
              <w:rPr>
                <w:rFonts w:hint="eastAsia" w:cs="宋体" w:asciiTheme="minorEastAsia" w:hAnsiTheme="minorEastAsia" w:eastAsiaTheme="minorEastAsia"/>
                <w:b/>
                <w:bCs w:val="0"/>
                <w:color w:val="FFFFFF" w:themeColor="background1"/>
                <w:sz w:val="21"/>
                <w:szCs w:val="21"/>
                <w:lang w:bidi="ar"/>
                <w14:textFill>
                  <w14:solidFill>
                    <w14:schemeClr w14:val="bg1"/>
                  </w14:solidFill>
                </w14:textFill>
              </w:rPr>
              <w:t>材料科学与工程</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49</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46</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93.88%</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jc w:val="center"/>
        </w:trPr>
        <w:tc>
          <w:tcPr>
            <w:tcW w:w="2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bottom"/>
          </w:tcPr>
          <w:p>
            <w:pPr>
              <w:spacing w:before="100"/>
              <w:jc w:val="center"/>
              <w:textAlignment w:val="bottom"/>
              <w:rPr>
                <w:rFonts w:asciiTheme="minorEastAsia" w:hAnsiTheme="minorEastAsia" w:eastAsiaTheme="minorEastAsia" w:cstheme="minorBidi"/>
                <w:b/>
                <w:bCs w:val="0"/>
                <w:color w:val="FFFFFF" w:themeColor="background1"/>
                <w:sz w:val="21"/>
                <w:szCs w:val="21"/>
                <w14:textFill>
                  <w14:solidFill>
                    <w14:schemeClr w14:val="bg1"/>
                  </w14:solidFill>
                </w14:textFill>
              </w:rPr>
            </w:pPr>
            <w:r>
              <w:rPr>
                <w:rFonts w:hint="eastAsia" w:cs="宋体" w:asciiTheme="minorEastAsia" w:hAnsiTheme="minorEastAsia" w:eastAsiaTheme="minorEastAsia"/>
                <w:b/>
                <w:bCs w:val="0"/>
                <w:color w:val="FFFFFF" w:themeColor="background1"/>
                <w:sz w:val="21"/>
                <w:szCs w:val="21"/>
                <w:lang w:bidi="ar"/>
                <w14:textFill>
                  <w14:solidFill>
                    <w14:schemeClr w14:val="bg1"/>
                  </w14:solidFill>
                </w14:textFill>
              </w:rPr>
              <w:t>市场营销</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98</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92</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93.88%</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jc w:val="center"/>
        </w:trPr>
        <w:tc>
          <w:tcPr>
            <w:tcW w:w="2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bottom"/>
          </w:tcPr>
          <w:p>
            <w:pPr>
              <w:spacing w:before="100"/>
              <w:jc w:val="center"/>
              <w:textAlignment w:val="bottom"/>
              <w:rPr>
                <w:rFonts w:asciiTheme="minorEastAsia" w:hAnsiTheme="minorEastAsia" w:eastAsiaTheme="minorEastAsia" w:cstheme="minorBidi"/>
                <w:b/>
                <w:bCs w:val="0"/>
                <w:color w:val="FFFFFF" w:themeColor="background1"/>
                <w:sz w:val="21"/>
                <w:szCs w:val="21"/>
                <w14:textFill>
                  <w14:solidFill>
                    <w14:schemeClr w14:val="bg1"/>
                  </w14:solidFill>
                </w14:textFill>
              </w:rPr>
            </w:pPr>
            <w:r>
              <w:rPr>
                <w:rFonts w:hint="eastAsia" w:cs="宋体" w:asciiTheme="minorEastAsia" w:hAnsiTheme="minorEastAsia" w:eastAsiaTheme="minorEastAsia"/>
                <w:b/>
                <w:bCs w:val="0"/>
                <w:color w:val="FFFFFF" w:themeColor="background1"/>
                <w:sz w:val="21"/>
                <w:szCs w:val="21"/>
                <w:lang w:bidi="ar"/>
                <w14:textFill>
                  <w14:solidFill>
                    <w14:schemeClr w14:val="bg1"/>
                  </w14:solidFill>
                </w14:textFill>
              </w:rPr>
              <w:t>旅游管理</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136</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127</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93.38%</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jc w:val="center"/>
        </w:trPr>
        <w:tc>
          <w:tcPr>
            <w:tcW w:w="2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bottom"/>
          </w:tcPr>
          <w:p>
            <w:pPr>
              <w:spacing w:before="100"/>
              <w:jc w:val="center"/>
              <w:textAlignment w:val="bottom"/>
              <w:rPr>
                <w:rFonts w:asciiTheme="minorEastAsia" w:hAnsiTheme="minorEastAsia" w:eastAsiaTheme="minorEastAsia" w:cstheme="minorBidi"/>
                <w:b/>
                <w:bCs w:val="0"/>
                <w:color w:val="FFFFFF" w:themeColor="background1"/>
                <w:sz w:val="21"/>
                <w:szCs w:val="21"/>
                <w14:textFill>
                  <w14:solidFill>
                    <w14:schemeClr w14:val="bg1"/>
                  </w14:solidFill>
                </w14:textFill>
              </w:rPr>
            </w:pPr>
            <w:r>
              <w:rPr>
                <w:rFonts w:hint="eastAsia" w:cs="宋体" w:asciiTheme="minorEastAsia" w:hAnsiTheme="minorEastAsia" w:eastAsiaTheme="minorEastAsia"/>
                <w:b/>
                <w:bCs w:val="0"/>
                <w:color w:val="FFFFFF" w:themeColor="background1"/>
                <w:sz w:val="21"/>
                <w:szCs w:val="21"/>
                <w:lang w:bidi="ar"/>
                <w14:textFill>
                  <w14:solidFill>
                    <w14:schemeClr w14:val="bg1"/>
                  </w14:solidFill>
                </w14:textFill>
              </w:rPr>
              <w:t>英语(翻译)</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40</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37</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92.50%</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jc w:val="center"/>
        </w:trPr>
        <w:tc>
          <w:tcPr>
            <w:tcW w:w="2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bottom"/>
          </w:tcPr>
          <w:p>
            <w:pPr>
              <w:spacing w:before="100"/>
              <w:jc w:val="center"/>
              <w:textAlignment w:val="bottom"/>
              <w:rPr>
                <w:rFonts w:asciiTheme="minorEastAsia" w:hAnsiTheme="minorEastAsia" w:eastAsiaTheme="minorEastAsia" w:cstheme="minorBidi"/>
                <w:b/>
                <w:bCs w:val="0"/>
                <w:color w:val="FFFFFF" w:themeColor="background1"/>
                <w:sz w:val="21"/>
                <w:szCs w:val="21"/>
                <w14:textFill>
                  <w14:solidFill>
                    <w14:schemeClr w14:val="bg1"/>
                  </w14:solidFill>
                </w14:textFill>
              </w:rPr>
            </w:pPr>
            <w:r>
              <w:rPr>
                <w:rFonts w:hint="eastAsia" w:cs="宋体" w:asciiTheme="minorEastAsia" w:hAnsiTheme="minorEastAsia" w:eastAsiaTheme="minorEastAsia"/>
                <w:b/>
                <w:bCs w:val="0"/>
                <w:color w:val="FFFFFF" w:themeColor="background1"/>
                <w:sz w:val="21"/>
                <w:szCs w:val="21"/>
                <w:lang w:bidi="ar"/>
                <w14:textFill>
                  <w14:solidFill>
                    <w14:schemeClr w14:val="bg1"/>
                  </w14:solidFill>
                </w14:textFill>
              </w:rPr>
              <w:t>财务管理</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291</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269</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92.44%</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jc w:val="center"/>
        </w:trPr>
        <w:tc>
          <w:tcPr>
            <w:tcW w:w="2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bottom"/>
          </w:tcPr>
          <w:p>
            <w:pPr>
              <w:spacing w:before="100"/>
              <w:jc w:val="center"/>
              <w:textAlignment w:val="bottom"/>
              <w:rPr>
                <w:rFonts w:asciiTheme="minorEastAsia" w:hAnsiTheme="minorEastAsia" w:eastAsiaTheme="minorEastAsia" w:cstheme="minorBidi"/>
                <w:b/>
                <w:bCs w:val="0"/>
                <w:color w:val="FFFFFF" w:themeColor="background1"/>
                <w:sz w:val="21"/>
                <w:szCs w:val="21"/>
                <w14:textFill>
                  <w14:solidFill>
                    <w14:schemeClr w14:val="bg1"/>
                  </w14:solidFill>
                </w14:textFill>
              </w:rPr>
            </w:pPr>
            <w:r>
              <w:rPr>
                <w:rFonts w:hint="eastAsia" w:cs="宋体" w:asciiTheme="minorEastAsia" w:hAnsiTheme="minorEastAsia" w:eastAsiaTheme="minorEastAsia"/>
                <w:b/>
                <w:bCs w:val="0"/>
                <w:color w:val="FFFFFF" w:themeColor="background1"/>
                <w:sz w:val="21"/>
                <w:szCs w:val="21"/>
                <w:lang w:bidi="ar"/>
                <w14:textFill>
                  <w14:solidFill>
                    <w14:schemeClr w14:val="bg1"/>
                  </w14:solidFill>
                </w14:textFill>
              </w:rPr>
              <w:t>制药工程</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164</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150</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91.46%</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jc w:val="center"/>
        </w:trPr>
        <w:tc>
          <w:tcPr>
            <w:tcW w:w="2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bottom"/>
          </w:tcPr>
          <w:p>
            <w:pPr>
              <w:spacing w:before="100"/>
              <w:jc w:val="center"/>
              <w:textAlignment w:val="bottom"/>
              <w:rPr>
                <w:rFonts w:asciiTheme="minorEastAsia" w:hAnsiTheme="minorEastAsia" w:eastAsiaTheme="minorEastAsia" w:cstheme="minorBidi"/>
                <w:b/>
                <w:bCs w:val="0"/>
                <w:color w:val="FFFFFF" w:themeColor="background1"/>
                <w:sz w:val="21"/>
                <w:szCs w:val="21"/>
                <w14:textFill>
                  <w14:solidFill>
                    <w14:schemeClr w14:val="bg1"/>
                  </w14:solidFill>
                </w14:textFill>
              </w:rPr>
            </w:pPr>
            <w:r>
              <w:rPr>
                <w:rFonts w:hint="eastAsia" w:cs="宋体" w:asciiTheme="minorEastAsia" w:hAnsiTheme="minorEastAsia" w:eastAsiaTheme="minorEastAsia"/>
                <w:b/>
                <w:bCs w:val="0"/>
                <w:color w:val="FFFFFF" w:themeColor="background1"/>
                <w:sz w:val="21"/>
                <w:szCs w:val="21"/>
                <w:lang w:bidi="ar"/>
                <w14:textFill>
                  <w14:solidFill>
                    <w14:schemeClr w14:val="bg1"/>
                  </w14:solidFill>
                </w14:textFill>
              </w:rPr>
              <w:t>地理科学</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71</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64</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90.14%</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jc w:val="center"/>
        </w:trPr>
        <w:tc>
          <w:tcPr>
            <w:tcW w:w="2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bottom"/>
          </w:tcPr>
          <w:p>
            <w:pPr>
              <w:spacing w:before="100"/>
              <w:jc w:val="center"/>
              <w:textAlignment w:val="bottom"/>
              <w:rPr>
                <w:rFonts w:asciiTheme="minorEastAsia" w:hAnsiTheme="minorEastAsia" w:eastAsiaTheme="minorEastAsia" w:cstheme="minorBidi"/>
                <w:b/>
                <w:bCs w:val="0"/>
                <w:color w:val="FFFFFF" w:themeColor="background1"/>
                <w:sz w:val="21"/>
                <w:szCs w:val="21"/>
                <w14:textFill>
                  <w14:solidFill>
                    <w14:schemeClr w14:val="bg1"/>
                  </w14:solidFill>
                </w14:textFill>
              </w:rPr>
            </w:pPr>
            <w:r>
              <w:rPr>
                <w:rFonts w:hint="eastAsia" w:cs="宋体" w:asciiTheme="minorEastAsia" w:hAnsiTheme="minorEastAsia" w:eastAsiaTheme="minorEastAsia"/>
                <w:b/>
                <w:bCs w:val="0"/>
                <w:color w:val="FFFFFF" w:themeColor="background1"/>
                <w:sz w:val="21"/>
                <w:szCs w:val="21"/>
                <w:lang w:bidi="ar"/>
                <w14:textFill>
                  <w14:solidFill>
                    <w14:schemeClr w14:val="bg1"/>
                  </w14:solidFill>
                </w14:textFill>
              </w:rPr>
              <w:t>资产评估</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64</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57</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89.06%</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jc w:val="center"/>
        </w:trPr>
        <w:tc>
          <w:tcPr>
            <w:tcW w:w="2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bottom"/>
          </w:tcPr>
          <w:p>
            <w:pPr>
              <w:spacing w:before="100"/>
              <w:jc w:val="center"/>
              <w:textAlignment w:val="bottom"/>
              <w:rPr>
                <w:rFonts w:asciiTheme="minorEastAsia" w:hAnsiTheme="minorEastAsia" w:eastAsiaTheme="minorEastAsia" w:cstheme="minorBidi"/>
                <w:b/>
                <w:bCs w:val="0"/>
                <w:color w:val="FFFFFF" w:themeColor="background1"/>
                <w:sz w:val="21"/>
                <w:szCs w:val="21"/>
                <w14:textFill>
                  <w14:solidFill>
                    <w14:schemeClr w14:val="bg1"/>
                  </w14:solidFill>
                </w14:textFill>
              </w:rPr>
            </w:pPr>
            <w:r>
              <w:rPr>
                <w:rFonts w:hint="eastAsia" w:cs="宋体" w:asciiTheme="minorEastAsia" w:hAnsiTheme="minorEastAsia" w:eastAsiaTheme="minorEastAsia"/>
                <w:b/>
                <w:bCs w:val="0"/>
                <w:color w:val="FFFFFF" w:themeColor="background1"/>
                <w:sz w:val="21"/>
                <w:szCs w:val="21"/>
                <w:lang w:bidi="ar"/>
                <w14:textFill>
                  <w14:solidFill>
                    <w14:schemeClr w14:val="bg1"/>
                  </w14:solidFill>
                </w14:textFill>
              </w:rPr>
              <w:t>汉语言文学</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66</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56</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84.85%</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jc w:val="center"/>
        </w:trPr>
        <w:tc>
          <w:tcPr>
            <w:tcW w:w="2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bottom"/>
          </w:tcPr>
          <w:p>
            <w:pPr>
              <w:spacing w:before="100"/>
              <w:jc w:val="center"/>
              <w:textAlignment w:val="bottom"/>
              <w:rPr>
                <w:rFonts w:asciiTheme="minorEastAsia" w:hAnsiTheme="minorEastAsia" w:eastAsiaTheme="minorEastAsia" w:cstheme="minorBidi"/>
                <w:b/>
                <w:bCs w:val="0"/>
                <w:color w:val="FFFFFF" w:themeColor="background1"/>
                <w:sz w:val="21"/>
                <w:szCs w:val="21"/>
                <w14:textFill>
                  <w14:solidFill>
                    <w14:schemeClr w14:val="bg1"/>
                  </w14:solidFill>
                </w14:textFill>
              </w:rPr>
            </w:pPr>
            <w:r>
              <w:rPr>
                <w:rFonts w:hint="eastAsia" w:cs="宋体" w:asciiTheme="minorEastAsia" w:hAnsiTheme="minorEastAsia" w:eastAsiaTheme="minorEastAsia"/>
                <w:b/>
                <w:bCs w:val="0"/>
                <w:color w:val="FFFFFF" w:themeColor="background1"/>
                <w:sz w:val="21"/>
                <w:szCs w:val="21"/>
                <w:lang w:bidi="ar"/>
                <w14:textFill>
                  <w14:solidFill>
                    <w14:schemeClr w14:val="bg1"/>
                  </w14:solidFill>
                </w14:textFill>
              </w:rPr>
              <w:t>新闻学</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26</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22</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D9E2F3" w:themeFill="accent1" w:themeFillTint="33"/>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84.62%</w:t>
            </w:r>
          </w:p>
        </w:tc>
      </w:tr>
      <w:tr>
        <w:tblPrEx>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CellMar>
            <w:top w:w="0" w:type="dxa"/>
            <w:left w:w="108" w:type="dxa"/>
            <w:bottom w:w="0" w:type="dxa"/>
            <w:right w:w="108" w:type="dxa"/>
          </w:tblCellMar>
        </w:tblPrEx>
        <w:trPr>
          <w:trHeight w:val="283" w:hRule="atLeast"/>
          <w:jc w:val="center"/>
        </w:trPr>
        <w:tc>
          <w:tcPr>
            <w:tcW w:w="2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shd w:val="clear" w:color="auto" w:fill="4472C4" w:themeFill="accent1"/>
            <w:noWrap/>
            <w:vAlign w:val="bottom"/>
          </w:tcPr>
          <w:p>
            <w:pPr>
              <w:spacing w:before="100"/>
              <w:jc w:val="center"/>
              <w:textAlignment w:val="bottom"/>
              <w:rPr>
                <w:rFonts w:asciiTheme="minorEastAsia" w:hAnsiTheme="minorEastAsia" w:eastAsiaTheme="minorEastAsia" w:cstheme="minorBidi"/>
                <w:b/>
                <w:bCs w:val="0"/>
                <w:color w:val="FFFFFF" w:themeColor="background1"/>
                <w:sz w:val="21"/>
                <w:szCs w:val="21"/>
                <w14:textFill>
                  <w14:solidFill>
                    <w14:schemeClr w14:val="bg1"/>
                  </w14:solidFill>
                </w14:textFill>
              </w:rPr>
            </w:pPr>
            <w:r>
              <w:rPr>
                <w:rFonts w:hint="eastAsia" w:cs="宋体" w:asciiTheme="minorEastAsia" w:hAnsiTheme="minorEastAsia" w:eastAsiaTheme="minorEastAsia"/>
                <w:b/>
                <w:bCs w:val="0"/>
                <w:color w:val="FFFFFF" w:themeColor="background1"/>
                <w:sz w:val="21"/>
                <w:szCs w:val="21"/>
                <w:lang w:bidi="ar"/>
                <w14:textFill>
                  <w14:solidFill>
                    <w14:schemeClr w14:val="bg1"/>
                  </w14:solidFill>
                </w14:textFill>
              </w:rPr>
              <w:t>广告学</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39</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28</w:t>
            </w:r>
          </w:p>
        </w:tc>
        <w:tc>
          <w:tcPr>
            <w:tcW w:w="1000" w:type="pct"/>
            <w:tcBorders>
              <w:top w:val="single" w:color="FFFFFF" w:themeColor="background1" w:sz="24" w:space="0"/>
              <w:left w:val="single" w:color="FFFFFF" w:themeColor="background1" w:sz="24" w:space="0"/>
              <w:bottom w:val="single" w:color="FFFFFF" w:themeColor="background1" w:sz="24" w:space="0"/>
              <w:right w:val="single" w:color="FFFFFF" w:themeColor="background1" w:sz="24" w:space="0"/>
            </w:tcBorders>
            <w:noWrap/>
            <w:vAlign w:val="bottom"/>
          </w:tcPr>
          <w:p>
            <w:pPr>
              <w:spacing w:before="100"/>
              <w:jc w:val="center"/>
              <w:textAlignment w:val="bottom"/>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lang w:bidi="ar"/>
              </w:rPr>
              <w:t>71.79%</w:t>
            </w:r>
          </w:p>
        </w:tc>
      </w:tr>
    </w:tbl>
    <w:p>
      <w:pPr>
        <w:pStyle w:val="132"/>
        <w:ind w:firstLine="360"/>
      </w:pPr>
      <w:r>
        <w:rPr>
          <w:rFonts w:hint="eastAsia"/>
        </w:rPr>
        <w:t>数据来源：安徽省教育厅就业系统。</w:t>
      </w:r>
    </w:p>
    <w:bookmarkEnd w:id="53"/>
    <w:bookmarkEnd w:id="54"/>
    <w:p>
      <w:pPr>
        <w:pStyle w:val="152"/>
        <w:rPr>
          <w:color w:val="4472C4" w:themeColor="accent1"/>
          <w14:textFill>
            <w14:solidFill>
              <w14:schemeClr w14:val="accent1"/>
            </w14:solidFill>
          </w14:textFill>
        </w:rPr>
      </w:pPr>
      <w:bookmarkStart w:id="69" w:name="_Toc27601814"/>
      <w:bookmarkStart w:id="70" w:name="_Toc520328897"/>
      <w:bookmarkStart w:id="71" w:name="_Toc487790054"/>
      <w:bookmarkStart w:id="72" w:name="_Toc487789873"/>
      <w:r>
        <w:rPr>
          <w:rFonts w:hint="eastAsia"/>
          <w:color w:val="4472C4" w:themeColor="accent1"/>
          <w14:textFill>
            <w14:solidFill>
              <w14:schemeClr w14:val="accent1"/>
            </w14:solidFill>
          </w14:textFill>
        </w:rPr>
        <w:t>（三</w:t>
      </w:r>
      <w:r>
        <w:rPr>
          <w:color w:val="4472C4" w:themeColor="accent1"/>
          <w14:textFill>
            <w14:solidFill>
              <w14:schemeClr w14:val="accent1"/>
            </w14:solidFill>
          </w14:textFill>
        </w:rPr>
        <w:t>）</w:t>
      </w:r>
      <w:r>
        <w:rPr>
          <w:rFonts w:hint="eastAsia"/>
          <w:color w:val="4472C4" w:themeColor="accent1"/>
          <w14:textFill>
            <w14:solidFill>
              <w14:schemeClr w14:val="accent1"/>
            </w14:solidFill>
          </w14:textFill>
        </w:rPr>
        <w:t>未就业分析</w:t>
      </w:r>
      <w:bookmarkEnd w:id="69"/>
      <w:bookmarkEnd w:id="70"/>
    </w:p>
    <w:p>
      <w:pPr>
        <w:pStyle w:val="199"/>
        <w:spacing w:before="156" w:beforeLines="50" w:after="156" w:afterLines="50"/>
        <w:ind w:firstLine="480"/>
      </w:pPr>
      <w:r>
        <w:rPr>
          <w:rFonts w:hint="eastAsia"/>
        </w:rPr>
        <w:t>学校</w:t>
      </w:r>
      <w:r>
        <w:t>2019届</w:t>
      </w:r>
      <w:r>
        <w:rPr>
          <w:rFonts w:hint="eastAsia"/>
        </w:rPr>
        <w:t>未就业毕业生共183人（</w:t>
      </w:r>
      <w:r>
        <w:t>占比</w:t>
      </w:r>
      <w:r>
        <w:rPr>
          <w:rFonts w:hint="eastAsia"/>
          <w:kern w:val="2"/>
        </w:rPr>
        <w:t>3</w:t>
      </w:r>
      <w:r>
        <w:rPr>
          <w:kern w:val="2"/>
        </w:rPr>
        <w:t>.</w:t>
      </w:r>
      <w:r>
        <w:rPr>
          <w:rFonts w:hint="eastAsia"/>
          <w:kern w:val="2"/>
        </w:rPr>
        <w:t>5</w:t>
      </w:r>
      <w:r>
        <w:rPr>
          <w:kern w:val="2"/>
        </w:rPr>
        <w:t>9%</w:t>
      </w:r>
      <w:r>
        <w:rPr>
          <w:rFonts w:hint="eastAsia"/>
          <w:kern w:val="2"/>
        </w:rPr>
        <w:t>）</w:t>
      </w:r>
      <w:r>
        <w:rPr>
          <w:rFonts w:hint="eastAsia"/>
        </w:rPr>
        <w:t>；进一步</w:t>
      </w:r>
      <w:r>
        <w:t>调查</w:t>
      </w:r>
      <w:r>
        <w:rPr>
          <w:rFonts w:hint="eastAsia"/>
        </w:rPr>
        <w:t>其未就业的</w:t>
      </w:r>
      <w:r>
        <w:t>原因，</w:t>
      </w:r>
      <w:r>
        <w:rPr>
          <w:rFonts w:hint="eastAsia"/>
        </w:rPr>
        <w:t>主要为</w:t>
      </w:r>
      <w:r>
        <w:rPr>
          <w:rFonts w:hint="eastAsia" w:asciiTheme="minorEastAsia" w:hAnsiTheme="minorEastAsia"/>
        </w:rPr>
        <w:t>“准备升学考试”</w:t>
      </w:r>
      <w:r>
        <w:rPr>
          <w:rFonts w:hint="eastAsia"/>
        </w:rPr>
        <w:t>（</w:t>
      </w:r>
      <w:r>
        <w:rPr>
          <w:rFonts w:hint="eastAsia"/>
          <w:kern w:val="2"/>
        </w:rPr>
        <w:t>39.00%</w:t>
      </w:r>
      <w:r>
        <w:t>）</w:t>
      </w:r>
      <w:r>
        <w:rPr>
          <w:rFonts w:hint="eastAsia"/>
        </w:rPr>
        <w:t>，</w:t>
      </w:r>
      <w:r>
        <w:t>其次为</w:t>
      </w:r>
      <w:r>
        <w:rPr>
          <w:rFonts w:hint="eastAsia"/>
        </w:rPr>
        <w:t>“准备参加公务员、事业单位等公开招录考试”（</w:t>
      </w:r>
      <w:r>
        <w:rPr>
          <w:rFonts w:hint="eastAsia"/>
          <w:kern w:val="2"/>
        </w:rPr>
        <w:t>20.27</w:t>
      </w:r>
      <w:r>
        <w:rPr>
          <w:kern w:val="2"/>
        </w:rPr>
        <w:t>%</w:t>
      </w:r>
      <w:r>
        <w:t>）</w:t>
      </w:r>
      <w:r>
        <w:rPr>
          <w:rFonts w:hint="eastAsia"/>
        </w:rPr>
        <w:t>。</w:t>
      </w:r>
    </w:p>
    <w:p>
      <w:pPr>
        <w:pStyle w:val="136"/>
        <w:spacing w:line="240" w:lineRule="auto"/>
        <w:ind w:firstLine="0" w:firstLineChars="0"/>
        <w:jc w:val="center"/>
        <w:rPr>
          <w:b/>
        </w:rPr>
      </w:pPr>
      <w:r>
        <w:rPr>
          <w:b/>
        </w:rPr>
        <w:drawing>
          <wp:inline distT="0" distB="0" distL="0" distR="0">
            <wp:extent cx="5399405" cy="3239770"/>
            <wp:effectExtent l="0" t="0" r="0" b="0"/>
            <wp:docPr id="4"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pStyle w:val="203"/>
        <w:spacing w:before="0" w:beforeLines="0" w:after="0" w:afterLines="0"/>
      </w:pPr>
      <w:bookmarkStart w:id="73" w:name="_Toc27002296"/>
      <w:r>
        <w:rPr>
          <w:rFonts w:hint="eastAsia"/>
        </w:rPr>
        <w:t xml:space="preserve">图1- </w:t>
      </w:r>
      <w:r>
        <w:fldChar w:fldCharType="begin"/>
      </w:r>
      <w:r>
        <w:instrText xml:space="preserve"> </w:instrText>
      </w:r>
      <w:r>
        <w:rPr>
          <w:rFonts w:hint="eastAsia"/>
        </w:rPr>
        <w:instrText xml:space="preserve">SEQ 图1- \* ARABIC</w:instrText>
      </w:r>
      <w:r>
        <w:instrText xml:space="preserve"> </w:instrText>
      </w:r>
      <w:r>
        <w:fldChar w:fldCharType="separate"/>
      </w:r>
      <w:r>
        <w:t>3</w:t>
      </w:r>
      <w:r>
        <w:fldChar w:fldCharType="end"/>
      </w:r>
      <w:r>
        <w:rPr>
          <w:b w:val="0"/>
          <w:bCs/>
        </w:rPr>
        <w:t xml:space="preserve">  </w:t>
      </w:r>
      <w:r>
        <w:t>2019</w:t>
      </w:r>
      <w:r>
        <w:rPr>
          <w:rFonts w:hint="eastAsia"/>
        </w:rPr>
        <w:t>届未就业毕业生去向分布</w:t>
      </w:r>
      <w:bookmarkEnd w:id="73"/>
    </w:p>
    <w:p>
      <w:pPr>
        <w:pStyle w:val="132"/>
        <w:ind w:firstLine="360"/>
      </w:pPr>
      <w:r>
        <w:t>数据来源</w:t>
      </w:r>
      <w:r>
        <w:rPr>
          <w:rFonts w:hint="eastAsia"/>
        </w:rPr>
        <w:t>：第三方机构新锦成</w:t>
      </w:r>
      <w:r>
        <w:t>-2019届毕业生就业与培养质量调查。</w:t>
      </w:r>
    </w:p>
    <w:bookmarkEnd w:id="71"/>
    <w:bookmarkEnd w:id="72"/>
    <w:p>
      <w:pPr>
        <w:pStyle w:val="142"/>
        <w:rPr>
          <w:color w:val="4472C4" w:themeColor="accent1"/>
          <w14:textFill>
            <w14:solidFill>
              <w14:schemeClr w14:val="accent1"/>
            </w14:solidFill>
          </w14:textFill>
        </w:rPr>
      </w:pPr>
      <w:bookmarkStart w:id="74" w:name="_Toc520328898"/>
      <w:bookmarkStart w:id="75" w:name="_Toc27601815"/>
      <w:bookmarkStart w:id="76" w:name="_Toc487790057"/>
      <w:bookmarkStart w:id="77" w:name="_Toc487789876"/>
      <w:bookmarkStart w:id="78" w:name="_Toc427050515"/>
      <w:r>
        <w:rPr>
          <w:rFonts w:hint="eastAsia"/>
          <w:color w:val="4472C4" w:themeColor="accent1"/>
          <w14:textFill>
            <w14:solidFill>
              <w14:schemeClr w14:val="accent1"/>
            </w14:solidFill>
          </w14:textFill>
        </w:rPr>
        <w:t>三</w:t>
      </w:r>
      <w:r>
        <w:rPr>
          <w:color w:val="4472C4" w:themeColor="accent1"/>
          <w14:textFill>
            <w14:solidFill>
              <w14:schemeClr w14:val="accent1"/>
            </w14:solidFill>
          </w14:textFill>
        </w:rPr>
        <w:t>、</w:t>
      </w:r>
      <w:r>
        <w:rPr>
          <w:rFonts w:hint="eastAsia"/>
          <w:color w:val="4472C4" w:themeColor="accent1"/>
          <w14:textFill>
            <w14:solidFill>
              <w14:schemeClr w14:val="accent1"/>
            </w14:solidFill>
          </w14:textFill>
        </w:rPr>
        <w:t>就业流向</w:t>
      </w:r>
      <w:r>
        <w:rPr>
          <w:rStyle w:val="42"/>
          <w:rFonts w:ascii="Times New Roman" w:hAnsi="Times New Roman" w:cs="Times New Roman"/>
          <w:color w:val="4472C4" w:themeColor="accent1"/>
          <w14:textFill>
            <w14:solidFill>
              <w14:schemeClr w14:val="accent1"/>
            </w14:solidFill>
          </w14:textFill>
        </w:rPr>
        <w:footnoteReference w:id="0"/>
      </w:r>
      <w:bookmarkEnd w:id="74"/>
      <w:bookmarkEnd w:id="75"/>
    </w:p>
    <w:p>
      <w:pPr>
        <w:pStyle w:val="152"/>
        <w:rPr>
          <w:color w:val="4472C4" w:themeColor="accent1"/>
          <w14:textFill>
            <w14:solidFill>
              <w14:schemeClr w14:val="accent1"/>
            </w14:solidFill>
          </w14:textFill>
        </w:rPr>
      </w:pPr>
      <w:bookmarkStart w:id="268" w:name="_GoBack"/>
      <w:bookmarkStart w:id="79" w:name="_Toc520328899"/>
      <w:bookmarkStart w:id="80" w:name="_Toc487789874"/>
      <w:bookmarkStart w:id="81" w:name="_Toc487790055"/>
      <w:bookmarkStart w:id="82" w:name="_Toc27601816"/>
      <w:bookmarkStart w:id="83" w:name="_Toc427050514"/>
      <w:r>
        <w:rPr>
          <w:rFonts w:hint="eastAsia"/>
          <w:color w:val="4472C4" w:themeColor="accent1"/>
          <w14:textFill>
            <w14:solidFill>
              <w14:schemeClr w14:val="accent1"/>
            </w14:solidFill>
          </w14:textFill>
        </w:rPr>
        <w:t>（一</w:t>
      </w:r>
      <w:r>
        <w:rPr>
          <w:color w:val="4472C4" w:themeColor="accent1"/>
          <w14:textFill>
            <w14:solidFill>
              <w14:schemeClr w14:val="accent1"/>
            </w14:solidFill>
          </w14:textFill>
        </w:rPr>
        <w:t>）</w:t>
      </w:r>
      <w:r>
        <w:rPr>
          <w:rFonts w:hint="eastAsia"/>
          <w:color w:val="4472C4" w:themeColor="accent1"/>
          <w14:textFill>
            <w14:solidFill>
              <w14:schemeClr w14:val="accent1"/>
            </w14:solidFill>
          </w14:textFill>
        </w:rPr>
        <w:t>就业地区分布</w:t>
      </w:r>
      <w:bookmarkEnd w:id="79"/>
      <w:bookmarkEnd w:id="80"/>
      <w:bookmarkEnd w:id="81"/>
      <w:bookmarkEnd w:id="82"/>
    </w:p>
    <w:bookmarkEnd w:id="268"/>
    <w:p>
      <w:pPr>
        <w:pStyle w:val="199"/>
        <w:spacing w:before="156" w:beforeLines="50" w:after="156" w:afterLines="50"/>
        <w:ind w:firstLine="482"/>
      </w:pPr>
      <w:r>
        <w:rPr>
          <w:rFonts w:hint="eastAsia"/>
          <w:b/>
          <w:color w:val="4472C4" w:themeColor="accent1"/>
          <w:lang w:val="zh-CN"/>
          <w14:textFill>
            <w14:solidFill>
              <w14:schemeClr w14:val="accent1"/>
            </w14:solidFill>
          </w14:textFill>
        </w:rPr>
        <w:t>就业</w:t>
      </w:r>
      <w:r>
        <w:rPr>
          <w:b/>
          <w:color w:val="4472C4" w:themeColor="accent1"/>
          <w:lang w:val="zh-CN"/>
          <w14:textFill>
            <w14:solidFill>
              <w14:schemeClr w14:val="accent1"/>
            </w14:solidFill>
          </w14:textFill>
        </w:rPr>
        <w:t>区域分布：</w:t>
      </w:r>
      <w:r>
        <w:rPr>
          <w:rFonts w:hint="eastAsia"/>
        </w:rPr>
        <w:t>学校</w:t>
      </w:r>
      <w:r>
        <w:t>2019届</w:t>
      </w:r>
      <w:r>
        <w:rPr>
          <w:rFonts w:hint="eastAsia"/>
        </w:rPr>
        <w:t>毕业生主要选择在省内就业</w:t>
      </w:r>
      <w:r>
        <w:t>（73.03</w:t>
      </w:r>
      <w:r>
        <w:rPr>
          <w:rFonts w:hint="eastAsia"/>
        </w:rPr>
        <w:t>%</w:t>
      </w:r>
      <w:r>
        <w:t>）</w:t>
      </w:r>
      <w:r>
        <w:rPr>
          <w:rFonts w:hint="eastAsia"/>
        </w:rPr>
        <w:t>，省外就业</w:t>
      </w:r>
      <w:r>
        <w:t>人数较多</w:t>
      </w:r>
      <w:r>
        <w:rPr>
          <w:rFonts w:hint="eastAsia"/>
        </w:rPr>
        <w:t>的</w:t>
      </w:r>
      <w:r>
        <w:t>地区为</w:t>
      </w:r>
      <w:r>
        <w:rPr>
          <w:rFonts w:hint="eastAsia"/>
        </w:rPr>
        <w:t>江苏省</w:t>
      </w:r>
      <w:r>
        <w:t>（</w:t>
      </w:r>
      <w:r>
        <w:rPr>
          <w:rFonts w:hint="eastAsia"/>
        </w:rPr>
        <w:t>1</w:t>
      </w:r>
      <w:r>
        <w:t>0</w:t>
      </w:r>
      <w:r>
        <w:rPr>
          <w:rFonts w:hint="eastAsia"/>
        </w:rPr>
        <w:t>.</w:t>
      </w:r>
      <w:r>
        <w:t>77%）</w:t>
      </w:r>
      <w:r>
        <w:rPr>
          <w:rFonts w:hint="eastAsia"/>
        </w:rPr>
        <w:t>、上海市</w:t>
      </w:r>
      <w:r>
        <w:t>（7.57%）</w:t>
      </w:r>
      <w:r>
        <w:rPr>
          <w:rFonts w:hint="eastAsia"/>
        </w:rPr>
        <w:t>和浙江省</w:t>
      </w:r>
      <w:r>
        <w:t>（4</w:t>
      </w:r>
      <w:r>
        <w:rPr>
          <w:rFonts w:hint="eastAsia"/>
        </w:rPr>
        <w:t>.0</w:t>
      </w:r>
      <w:r>
        <w:t>6%）</w:t>
      </w:r>
      <w:r>
        <w:rPr>
          <w:rFonts w:hint="eastAsia"/>
        </w:rPr>
        <w:t>。</w:t>
      </w:r>
    </w:p>
    <w:p>
      <w:pPr>
        <w:pStyle w:val="136"/>
        <w:spacing w:line="240" w:lineRule="auto"/>
        <w:ind w:firstLine="0" w:firstLineChars="0"/>
        <w:jc w:val="center"/>
        <w:rPr>
          <w:b/>
        </w:rPr>
      </w:pPr>
      <w:r>
        <w:rPr>
          <w:b/>
        </w:rPr>
        <w:drawing>
          <wp:inline distT="0" distB="0" distL="0" distR="0">
            <wp:extent cx="5399405" cy="2519680"/>
            <wp:effectExtent l="0" t="0" r="0" b="0"/>
            <wp:docPr id="73" name="图表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pStyle w:val="203"/>
        <w:spacing w:before="0" w:beforeLines="0" w:after="0" w:afterLines="0"/>
      </w:pPr>
      <w:bookmarkStart w:id="84" w:name="_Toc27002297"/>
      <w:r>
        <w:rPr>
          <w:rFonts w:hint="eastAsia"/>
        </w:rPr>
        <w:t xml:space="preserve">图1- </w:t>
      </w:r>
      <w:r>
        <w:fldChar w:fldCharType="begin"/>
      </w:r>
      <w:r>
        <w:instrText xml:space="preserve"> </w:instrText>
      </w:r>
      <w:r>
        <w:rPr>
          <w:rFonts w:hint="eastAsia"/>
        </w:rPr>
        <w:instrText xml:space="preserve">SEQ 图1- \* ARABIC</w:instrText>
      </w:r>
      <w:r>
        <w:instrText xml:space="preserve"> </w:instrText>
      </w:r>
      <w:r>
        <w:fldChar w:fldCharType="separate"/>
      </w:r>
      <w:r>
        <w:t>4</w:t>
      </w:r>
      <w:r>
        <w:fldChar w:fldCharType="end"/>
      </w:r>
      <w:r>
        <w:rPr>
          <w:b w:val="0"/>
          <w:bCs/>
        </w:rPr>
        <w:t xml:space="preserve">  </w:t>
      </w:r>
      <w:r>
        <w:t>2019届</w:t>
      </w:r>
      <w:r>
        <w:rPr>
          <w:rFonts w:hint="eastAsia"/>
        </w:rPr>
        <w:t>毕业生</w:t>
      </w:r>
      <w:r>
        <w:t>就业</w:t>
      </w:r>
      <w:r>
        <w:rPr>
          <w:rFonts w:hint="eastAsia"/>
        </w:rPr>
        <w:t>地区</w:t>
      </w:r>
      <w:r>
        <w:t>分布</w:t>
      </w:r>
      <w:bookmarkEnd w:id="84"/>
    </w:p>
    <w:p>
      <w:pPr>
        <w:pStyle w:val="132"/>
        <w:ind w:firstLine="360"/>
        <w:rPr>
          <w:caps w:val="0"/>
        </w:rPr>
      </w:pPr>
      <w:r>
        <w:t>数据来源</w:t>
      </w:r>
      <w:r>
        <w:rPr>
          <w:rFonts w:hint="eastAsia"/>
        </w:rPr>
        <w:t>：安徽省教育厅就业系统。</w:t>
      </w:r>
    </w:p>
    <w:p>
      <w:pPr>
        <w:pStyle w:val="199"/>
        <w:spacing w:before="156" w:beforeLines="50" w:after="156" w:afterLines="50"/>
        <w:ind w:firstLine="482"/>
      </w:pPr>
      <w:r>
        <w:rPr>
          <w:rFonts w:hint="eastAsia"/>
          <w:b/>
          <w:color w:val="0F6FC6"/>
        </w:rPr>
        <w:t>省内就业城市</w:t>
      </w:r>
      <w:r>
        <w:rPr>
          <w:b/>
          <w:color w:val="0F6FC6"/>
        </w:rPr>
        <w:t>：</w:t>
      </w:r>
      <w:r>
        <w:rPr>
          <w:rFonts w:hint="eastAsia"/>
        </w:rPr>
        <w:t>在省内就业的毕业生主要</w:t>
      </w:r>
      <w:r>
        <w:t>流</w:t>
      </w:r>
      <w:r>
        <w:rPr>
          <w:rFonts w:hint="eastAsia"/>
        </w:rPr>
        <w:t>向合肥</w:t>
      </w:r>
      <w:r>
        <w:t>市</w:t>
      </w:r>
      <w:r>
        <w:rPr>
          <w:rFonts w:hint="eastAsia"/>
        </w:rPr>
        <w:t>（40.10</w:t>
      </w:r>
      <w:r>
        <w:t>%）</w:t>
      </w:r>
      <w:r>
        <w:rPr>
          <w:rFonts w:hint="eastAsia"/>
        </w:rPr>
        <w:t>，其次是六安</w:t>
      </w:r>
      <w:r>
        <w:t>市（</w:t>
      </w:r>
      <w:r>
        <w:rPr>
          <w:rFonts w:hint="eastAsia"/>
        </w:rPr>
        <w:t>36.28</w:t>
      </w:r>
      <w:r>
        <w:t>%）。</w:t>
      </w:r>
    </w:p>
    <w:p>
      <w:pPr>
        <w:pStyle w:val="136"/>
        <w:spacing w:line="240" w:lineRule="auto"/>
        <w:ind w:firstLine="0" w:firstLineChars="0"/>
        <w:jc w:val="center"/>
        <w:rPr>
          <w:b/>
        </w:rPr>
      </w:pPr>
      <w:r>
        <w:rPr>
          <w:rFonts w:hint="eastAsia"/>
          <w:b/>
        </w:rPr>
        <w:drawing>
          <wp:inline distT="0" distB="0" distL="0" distR="0">
            <wp:extent cx="5399405" cy="2519680"/>
            <wp:effectExtent l="0" t="0" r="0" b="0"/>
            <wp:docPr id="33"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pStyle w:val="203"/>
        <w:spacing w:before="0" w:beforeLines="0" w:after="0" w:afterLines="0"/>
      </w:pPr>
      <w:bookmarkStart w:id="85" w:name="_Toc27002298"/>
      <w:r>
        <w:rPr>
          <w:rFonts w:hint="eastAsia"/>
        </w:rPr>
        <w:t xml:space="preserve">图1- </w:t>
      </w:r>
      <w:r>
        <w:fldChar w:fldCharType="begin"/>
      </w:r>
      <w:r>
        <w:instrText xml:space="preserve"> </w:instrText>
      </w:r>
      <w:r>
        <w:rPr>
          <w:rFonts w:hint="eastAsia"/>
        </w:rPr>
        <w:instrText xml:space="preserve">SEQ 图1- \* ARABIC</w:instrText>
      </w:r>
      <w:r>
        <w:instrText xml:space="preserve"> </w:instrText>
      </w:r>
      <w:r>
        <w:fldChar w:fldCharType="separate"/>
      </w:r>
      <w:r>
        <w:t>5</w:t>
      </w:r>
      <w:r>
        <w:fldChar w:fldCharType="end"/>
      </w:r>
      <w:r>
        <w:t xml:space="preserve">  2019届</w:t>
      </w:r>
      <w:r>
        <w:rPr>
          <w:rFonts w:hint="eastAsia"/>
        </w:rPr>
        <w:t>毕业生省内主要</w:t>
      </w:r>
      <w:r>
        <w:t>就业</w:t>
      </w:r>
      <w:r>
        <w:rPr>
          <w:rFonts w:hint="eastAsia"/>
        </w:rPr>
        <w:t>城市</w:t>
      </w:r>
      <w:r>
        <w:t>分布</w:t>
      </w:r>
      <w:bookmarkEnd w:id="85"/>
    </w:p>
    <w:p>
      <w:pPr>
        <w:pStyle w:val="132"/>
        <w:ind w:firstLine="360"/>
      </w:pPr>
      <w:r>
        <w:rPr>
          <w:rFonts w:hint="eastAsia"/>
        </w:rPr>
        <w:t>注</w:t>
      </w:r>
      <w:r>
        <w:t>：图</w:t>
      </w:r>
      <w:r>
        <w:rPr>
          <w:rFonts w:hint="eastAsia"/>
        </w:rPr>
        <w:t>中</w:t>
      </w:r>
      <w:r>
        <w:t>为就业人数排名前10</w:t>
      </w:r>
      <w:r>
        <w:rPr>
          <w:rFonts w:hint="eastAsia"/>
        </w:rPr>
        <w:t>的省内</w:t>
      </w:r>
      <w:r>
        <w:t>就业城市</w:t>
      </w:r>
      <w:r>
        <w:rPr>
          <w:rFonts w:hint="eastAsia"/>
        </w:rPr>
        <w:t>。</w:t>
      </w:r>
    </w:p>
    <w:p>
      <w:pPr>
        <w:pStyle w:val="132"/>
        <w:ind w:firstLine="360"/>
      </w:pPr>
      <w:r>
        <w:t>数据来源</w:t>
      </w:r>
      <w:r>
        <w:rPr>
          <w:rFonts w:hint="eastAsia"/>
        </w:rPr>
        <w:t>：安徽省教育厅就业系统。</w:t>
      </w:r>
    </w:p>
    <w:p>
      <w:pPr>
        <w:pStyle w:val="199"/>
        <w:spacing w:before="156" w:beforeLines="50" w:after="156" w:afterLines="50"/>
        <w:ind w:firstLine="482"/>
      </w:pPr>
      <w:r>
        <w:rPr>
          <w:rFonts w:hint="eastAsia"/>
          <w:b/>
          <w:color w:val="4472C4" w:themeColor="accent1"/>
          <w14:textFill>
            <w14:solidFill>
              <w14:schemeClr w14:val="accent1"/>
            </w14:solidFill>
          </w14:textFill>
        </w:rPr>
        <w:t>生源地</w:t>
      </w:r>
      <w:r>
        <w:rPr>
          <w:b/>
          <w:color w:val="4472C4" w:themeColor="accent1"/>
          <w14:textFill>
            <w14:solidFill>
              <w14:schemeClr w14:val="accent1"/>
            </w14:solidFill>
          </w14:textFill>
        </w:rPr>
        <w:t>与就业地域交叉</w:t>
      </w:r>
      <w:r>
        <w:rPr>
          <w:rFonts w:hint="eastAsia"/>
          <w:b/>
          <w:color w:val="4472C4" w:themeColor="accent1"/>
          <w14:textFill>
            <w14:solidFill>
              <w14:schemeClr w14:val="accent1"/>
            </w14:solidFill>
          </w14:textFill>
        </w:rPr>
        <w:t>分析</w:t>
      </w:r>
      <w:r>
        <w:rPr>
          <w:b/>
          <w:color w:val="4472C4" w:themeColor="accent1"/>
          <w14:textFill>
            <w14:solidFill>
              <w14:schemeClr w14:val="accent1"/>
            </w14:solidFill>
          </w14:textFill>
        </w:rPr>
        <w:t>：</w:t>
      </w:r>
      <w:r>
        <w:rPr>
          <w:rFonts w:hint="eastAsia"/>
        </w:rPr>
        <w:t>省内生源中，73.29%选择留在本省就业；64.62%的省外生源也优先考虑在省内就业，30.77%的省外生源回生源地就业。</w:t>
      </w:r>
    </w:p>
    <w:p>
      <w:pPr>
        <w:pStyle w:val="136"/>
        <w:spacing w:line="240" w:lineRule="auto"/>
        <w:ind w:firstLine="0" w:firstLineChars="0"/>
        <w:jc w:val="center"/>
        <w:rPr>
          <w:b/>
        </w:rPr>
      </w:pPr>
      <w:r>
        <w:rPr>
          <w:b/>
        </w:rPr>
        <w:drawing>
          <wp:inline distT="0" distB="0" distL="0" distR="0">
            <wp:extent cx="2466975" cy="2152650"/>
            <wp:effectExtent l="0" t="0" r="0" b="0"/>
            <wp:docPr id="75" name="图表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b/>
        </w:rPr>
        <w:drawing>
          <wp:inline distT="0" distB="0" distL="0" distR="0">
            <wp:extent cx="2647950" cy="2152650"/>
            <wp:effectExtent l="0" t="0" r="0" b="0"/>
            <wp:docPr id="74" name="图表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pStyle w:val="203"/>
        <w:spacing w:before="0" w:beforeLines="0" w:after="0" w:afterLines="0"/>
        <w:rPr>
          <w:bCs/>
        </w:rPr>
      </w:pPr>
      <w:bookmarkStart w:id="86" w:name="_Toc27002299"/>
      <w:r>
        <w:rPr>
          <w:rFonts w:hint="eastAsia"/>
        </w:rPr>
        <w:t xml:space="preserve">图1- </w:t>
      </w:r>
      <w:r>
        <w:fldChar w:fldCharType="begin"/>
      </w:r>
      <w:r>
        <w:instrText xml:space="preserve"> </w:instrText>
      </w:r>
      <w:r>
        <w:rPr>
          <w:rFonts w:hint="eastAsia"/>
        </w:rPr>
        <w:instrText xml:space="preserve">SEQ 图1- \* ARABIC</w:instrText>
      </w:r>
      <w:r>
        <w:instrText xml:space="preserve"> </w:instrText>
      </w:r>
      <w:r>
        <w:fldChar w:fldCharType="separate"/>
      </w:r>
      <w:r>
        <w:t>6</w:t>
      </w:r>
      <w:r>
        <w:fldChar w:fldCharType="end"/>
      </w:r>
      <w:r>
        <w:rPr>
          <w:rFonts w:hint="eastAsia"/>
        </w:rPr>
        <w:t xml:space="preserve">  </w:t>
      </w:r>
      <w:r>
        <w:t>2019</w:t>
      </w:r>
      <w:r>
        <w:rPr>
          <w:rFonts w:hint="eastAsia"/>
        </w:rPr>
        <w:t>届省内、省外生源毕业生就业</w:t>
      </w:r>
      <w:r>
        <w:t>地区分布</w:t>
      </w:r>
      <w:bookmarkEnd w:id="86"/>
      <w:r>
        <w:rPr>
          <w:rFonts w:hint="eastAsia"/>
          <w:b w:val="0"/>
          <w:bCs/>
        </w:rPr>
        <w:t xml:space="preserve"> </w:t>
      </w:r>
    </w:p>
    <w:p>
      <w:pPr>
        <w:pStyle w:val="132"/>
        <w:ind w:firstLine="360"/>
      </w:pPr>
      <w:r>
        <w:rPr>
          <w:rFonts w:hint="eastAsia"/>
        </w:rPr>
        <w:t>数据来源：安徽省教育厅就业系统。</w:t>
      </w:r>
    </w:p>
    <w:bookmarkEnd w:id="76"/>
    <w:bookmarkEnd w:id="77"/>
    <w:bookmarkEnd w:id="78"/>
    <w:bookmarkEnd w:id="83"/>
    <w:p>
      <w:pPr>
        <w:pStyle w:val="152"/>
        <w:rPr>
          <w:color w:val="4472C4" w:themeColor="accent1"/>
          <w14:textFill>
            <w14:solidFill>
              <w14:schemeClr w14:val="accent1"/>
            </w14:solidFill>
          </w14:textFill>
        </w:rPr>
      </w:pPr>
      <w:bookmarkStart w:id="87" w:name="_Toc27601817"/>
      <w:bookmarkStart w:id="88" w:name="_Toc520328900"/>
      <w:bookmarkStart w:id="89" w:name="_Toc487789878"/>
      <w:bookmarkStart w:id="90" w:name="_Toc487790059"/>
      <w:r>
        <w:rPr>
          <w:rFonts w:hint="eastAsia"/>
          <w:color w:val="4472C4" w:themeColor="accent1"/>
          <w14:textFill>
            <w14:solidFill>
              <w14:schemeClr w14:val="accent1"/>
            </w14:solidFill>
          </w14:textFill>
        </w:rPr>
        <w:t>（二</w:t>
      </w:r>
      <w:r>
        <w:rPr>
          <w:color w:val="4472C4" w:themeColor="accent1"/>
          <w14:textFill>
            <w14:solidFill>
              <w14:schemeClr w14:val="accent1"/>
            </w14:solidFill>
          </w14:textFill>
        </w:rPr>
        <w:t>）</w:t>
      </w:r>
      <w:r>
        <w:rPr>
          <w:rFonts w:hint="eastAsia"/>
          <w:color w:val="4472C4" w:themeColor="accent1"/>
          <w14:textFill>
            <w14:solidFill>
              <w14:schemeClr w14:val="accent1"/>
            </w14:solidFill>
          </w14:textFill>
        </w:rPr>
        <w:t>就业行业分布</w:t>
      </w:r>
      <w:bookmarkEnd w:id="87"/>
      <w:bookmarkEnd w:id="88"/>
    </w:p>
    <w:p>
      <w:pPr>
        <w:pStyle w:val="199"/>
        <w:spacing w:before="156" w:beforeLines="50" w:after="156" w:afterLines="50"/>
        <w:ind w:firstLine="480"/>
      </w:pPr>
      <w:bookmarkStart w:id="91" w:name="_Toc487790058"/>
      <w:bookmarkStart w:id="92" w:name="_Toc487789877"/>
      <w:r>
        <w:rPr>
          <w:rFonts w:hint="eastAsia"/>
        </w:rPr>
        <w:t>2019届毕业生就业行业主要集中在“教育</w:t>
      </w:r>
      <w:r>
        <w:rPr>
          <w:rFonts w:ascii="宋体" w:hAnsi="宋体"/>
        </w:rPr>
        <w:t>”</w:t>
      </w:r>
      <w:r>
        <w:rPr>
          <w:rFonts w:hint="eastAsia" w:ascii="宋体" w:hAnsi="宋体"/>
        </w:rPr>
        <w:t>（</w:t>
      </w:r>
      <w:r>
        <w:rPr>
          <w:rFonts w:hint="eastAsia"/>
        </w:rPr>
        <w:t>19.72</w:t>
      </w:r>
      <w:r>
        <w:t>%）</w:t>
      </w:r>
      <w:r>
        <w:rPr>
          <w:rFonts w:hint="eastAsia"/>
        </w:rPr>
        <w:t>、“信息传输、软件和信息技术服务业”</w:t>
      </w:r>
      <w:r>
        <w:t>（</w:t>
      </w:r>
      <w:r>
        <w:rPr>
          <w:rFonts w:hint="eastAsia"/>
        </w:rPr>
        <w:t>12.75</w:t>
      </w:r>
      <w:r>
        <w:t>%）</w:t>
      </w:r>
      <w:r>
        <w:rPr>
          <w:rFonts w:hint="eastAsia"/>
        </w:rPr>
        <w:t>及“建筑业”（11.13</w:t>
      </w:r>
      <w:r>
        <w:t>%）</w:t>
      </w:r>
      <w:r>
        <w:rPr>
          <w:rFonts w:hint="eastAsia"/>
        </w:rPr>
        <w:t>。</w:t>
      </w:r>
    </w:p>
    <w:p>
      <w:pPr>
        <w:pStyle w:val="136"/>
        <w:spacing w:line="240" w:lineRule="auto"/>
        <w:ind w:firstLine="0" w:firstLineChars="0"/>
        <w:jc w:val="center"/>
        <w:rPr>
          <w:b/>
        </w:rPr>
      </w:pPr>
      <w:r>
        <w:rPr>
          <w:b/>
        </w:rPr>
        <w:drawing>
          <wp:inline distT="0" distB="0" distL="0" distR="0">
            <wp:extent cx="5399405" cy="3239770"/>
            <wp:effectExtent l="0" t="0" r="0" b="0"/>
            <wp:docPr id="976"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pStyle w:val="203"/>
        <w:spacing w:before="0" w:beforeLines="0" w:after="0" w:afterLines="0"/>
      </w:pPr>
      <w:bookmarkStart w:id="93" w:name="_Toc27002300"/>
      <w:r>
        <w:rPr>
          <w:rFonts w:hint="eastAsia"/>
        </w:rPr>
        <w:t xml:space="preserve">图1- </w:t>
      </w:r>
      <w:r>
        <w:fldChar w:fldCharType="begin"/>
      </w:r>
      <w:r>
        <w:instrText xml:space="preserve"> </w:instrText>
      </w:r>
      <w:r>
        <w:rPr>
          <w:rFonts w:hint="eastAsia"/>
        </w:rPr>
        <w:instrText xml:space="preserve">SEQ 图1- \* ARABIC</w:instrText>
      </w:r>
      <w:r>
        <w:instrText xml:space="preserve"> </w:instrText>
      </w:r>
      <w:r>
        <w:fldChar w:fldCharType="separate"/>
      </w:r>
      <w:r>
        <w:t>7</w:t>
      </w:r>
      <w:r>
        <w:fldChar w:fldCharType="end"/>
      </w:r>
      <w:r>
        <w:t xml:space="preserve">  2019届</w:t>
      </w:r>
      <w:r>
        <w:rPr>
          <w:rFonts w:hint="eastAsia"/>
        </w:rPr>
        <w:t>毕业生就业量</w:t>
      </w:r>
      <w:r>
        <w:t>最大的前十个</w:t>
      </w:r>
      <w:r>
        <w:rPr>
          <w:rFonts w:hint="eastAsia"/>
        </w:rPr>
        <w:t>行业</w:t>
      </w:r>
      <w:r>
        <w:t>分布</w:t>
      </w:r>
      <w:bookmarkEnd w:id="93"/>
    </w:p>
    <w:p>
      <w:pPr>
        <w:pStyle w:val="132"/>
        <w:ind w:firstLine="360"/>
        <w:rPr>
          <w:caps w:val="0"/>
        </w:rPr>
      </w:pPr>
      <w:r>
        <w:t>数据来源</w:t>
      </w:r>
      <w:r>
        <w:rPr>
          <w:rFonts w:hint="eastAsia"/>
        </w:rPr>
        <w:t>：安徽省教育厅就业系统。</w:t>
      </w:r>
    </w:p>
    <w:p>
      <w:pPr>
        <w:pStyle w:val="152"/>
        <w:rPr>
          <w:color w:val="4472C4" w:themeColor="accent1"/>
          <w14:textFill>
            <w14:solidFill>
              <w14:schemeClr w14:val="accent1"/>
            </w14:solidFill>
          </w14:textFill>
        </w:rPr>
      </w:pPr>
      <w:bookmarkStart w:id="94" w:name="_Toc520328901"/>
      <w:bookmarkStart w:id="95" w:name="_Toc27601818"/>
      <w:r>
        <w:rPr>
          <w:rFonts w:hint="eastAsia"/>
          <w:color w:val="4472C4" w:themeColor="accent1"/>
          <w14:textFill>
            <w14:solidFill>
              <w14:schemeClr w14:val="accent1"/>
            </w14:solidFill>
          </w14:textFill>
        </w:rPr>
        <w:t>（三</w:t>
      </w:r>
      <w:r>
        <w:rPr>
          <w:color w:val="4472C4" w:themeColor="accent1"/>
          <w14:textFill>
            <w14:solidFill>
              <w14:schemeClr w14:val="accent1"/>
            </w14:solidFill>
          </w14:textFill>
        </w:rPr>
        <w:t>）</w:t>
      </w:r>
      <w:r>
        <w:rPr>
          <w:rFonts w:hint="eastAsia"/>
          <w:color w:val="4472C4" w:themeColor="accent1"/>
          <w14:textFill>
            <w14:solidFill>
              <w14:schemeClr w14:val="accent1"/>
            </w14:solidFill>
          </w14:textFill>
        </w:rPr>
        <w:t>就业</w:t>
      </w:r>
      <w:r>
        <w:rPr>
          <w:color w:val="4472C4" w:themeColor="accent1"/>
          <w14:textFill>
            <w14:solidFill>
              <w14:schemeClr w14:val="accent1"/>
            </w14:solidFill>
          </w14:textFill>
        </w:rPr>
        <w:t>职业分布</w:t>
      </w:r>
      <w:bookmarkEnd w:id="91"/>
      <w:bookmarkEnd w:id="92"/>
      <w:bookmarkEnd w:id="94"/>
      <w:bookmarkEnd w:id="95"/>
    </w:p>
    <w:p>
      <w:pPr>
        <w:pStyle w:val="199"/>
        <w:spacing w:before="156" w:beforeLines="50" w:after="156" w:afterLines="50"/>
        <w:ind w:firstLine="480"/>
      </w:pPr>
      <w:r>
        <w:t>毕业生</w:t>
      </w:r>
      <w:r>
        <w:rPr>
          <w:rFonts w:hint="eastAsia"/>
        </w:rPr>
        <w:t>所</w:t>
      </w:r>
      <w:r>
        <w:t>从事</w:t>
      </w:r>
      <w:r>
        <w:rPr>
          <w:rFonts w:hint="eastAsia"/>
        </w:rPr>
        <w:t>的</w:t>
      </w:r>
      <w:r>
        <w:t>职业</w:t>
      </w:r>
      <w:r>
        <w:rPr>
          <w:rFonts w:hint="eastAsia"/>
        </w:rPr>
        <w:t>主要</w:t>
      </w:r>
      <w:r>
        <w:t>为</w:t>
      </w:r>
      <w:r>
        <w:rPr>
          <w:rFonts w:hint="eastAsia"/>
        </w:rPr>
        <w:t>“其他人员”</w:t>
      </w:r>
      <w:r>
        <w:t>，</w:t>
      </w:r>
      <w:r>
        <w:rPr>
          <w:rFonts w:hint="eastAsia"/>
        </w:rPr>
        <w:t>占比</w:t>
      </w:r>
      <w:r>
        <w:t>为</w:t>
      </w:r>
      <w:r>
        <w:rPr>
          <w:rFonts w:hint="eastAsia"/>
        </w:rPr>
        <w:t>19.18</w:t>
      </w:r>
      <w:r>
        <w:t>%</w:t>
      </w:r>
      <w:r>
        <w:rPr>
          <w:rFonts w:hint="eastAsia"/>
        </w:rPr>
        <w:t>；其次为“教学人员”（17.40%）。</w:t>
      </w:r>
    </w:p>
    <w:p>
      <w:pPr>
        <w:pStyle w:val="136"/>
        <w:spacing w:line="240" w:lineRule="auto"/>
        <w:ind w:firstLine="0" w:firstLineChars="0"/>
        <w:jc w:val="center"/>
        <w:rPr>
          <w:b/>
        </w:rPr>
      </w:pPr>
      <w:r>
        <w:rPr>
          <w:b/>
        </w:rPr>
        <w:drawing>
          <wp:inline distT="0" distB="0" distL="0" distR="0">
            <wp:extent cx="5399405" cy="3239770"/>
            <wp:effectExtent l="0" t="0" r="0" b="0"/>
            <wp:docPr id="458"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pStyle w:val="203"/>
        <w:spacing w:before="0" w:beforeLines="0" w:after="0" w:afterLines="0"/>
      </w:pPr>
      <w:bookmarkStart w:id="96" w:name="_Toc27002301"/>
      <w:r>
        <w:rPr>
          <w:rFonts w:hint="eastAsia"/>
        </w:rPr>
        <w:t xml:space="preserve">图1- </w:t>
      </w:r>
      <w:r>
        <w:fldChar w:fldCharType="begin"/>
      </w:r>
      <w:r>
        <w:instrText xml:space="preserve"> </w:instrText>
      </w:r>
      <w:r>
        <w:rPr>
          <w:rFonts w:hint="eastAsia"/>
        </w:rPr>
        <w:instrText xml:space="preserve">SEQ 图1- \* ARABIC</w:instrText>
      </w:r>
      <w:r>
        <w:instrText xml:space="preserve"> </w:instrText>
      </w:r>
      <w:r>
        <w:fldChar w:fldCharType="separate"/>
      </w:r>
      <w:r>
        <w:t>8</w:t>
      </w:r>
      <w:r>
        <w:fldChar w:fldCharType="end"/>
      </w:r>
      <w:r>
        <w:t xml:space="preserve">  </w:t>
      </w:r>
      <w:r>
        <w:rPr>
          <w:rFonts w:hint="eastAsia"/>
        </w:rPr>
        <w:t>2019届毕业生就业量最大的前十个职业分布</w:t>
      </w:r>
      <w:bookmarkEnd w:id="96"/>
    </w:p>
    <w:p>
      <w:pPr>
        <w:pStyle w:val="132"/>
        <w:ind w:firstLine="360"/>
        <w:rPr>
          <w:caps w:val="0"/>
        </w:rPr>
      </w:pPr>
      <w:r>
        <w:t>数据来源</w:t>
      </w:r>
      <w:r>
        <w:rPr>
          <w:rFonts w:hint="eastAsia"/>
        </w:rPr>
        <w:t>：安徽省教育厅就业系统。</w:t>
      </w:r>
    </w:p>
    <w:p>
      <w:pPr>
        <w:pStyle w:val="152"/>
        <w:rPr>
          <w:color w:val="4472C4" w:themeColor="accent1"/>
          <w14:textFill>
            <w14:solidFill>
              <w14:schemeClr w14:val="accent1"/>
            </w14:solidFill>
          </w14:textFill>
        </w:rPr>
      </w:pPr>
      <w:bookmarkStart w:id="97" w:name="_Toc520328902"/>
      <w:bookmarkStart w:id="98" w:name="_Toc487789875"/>
      <w:bookmarkStart w:id="99" w:name="_Toc27601819"/>
      <w:bookmarkStart w:id="100" w:name="_Toc487790056"/>
      <w:r>
        <w:rPr>
          <w:rFonts w:hint="eastAsia"/>
          <w:color w:val="4472C4" w:themeColor="accent1"/>
          <w14:textFill>
            <w14:solidFill>
              <w14:schemeClr w14:val="accent1"/>
            </w14:solidFill>
          </w14:textFill>
        </w:rPr>
        <w:t>（四</w:t>
      </w:r>
      <w:r>
        <w:rPr>
          <w:color w:val="4472C4" w:themeColor="accent1"/>
          <w14:textFill>
            <w14:solidFill>
              <w14:schemeClr w14:val="accent1"/>
            </w14:solidFill>
          </w14:textFill>
        </w:rPr>
        <w:t>）</w:t>
      </w:r>
      <w:r>
        <w:rPr>
          <w:rFonts w:hint="eastAsia"/>
          <w:color w:val="4472C4" w:themeColor="accent1"/>
          <w14:textFill>
            <w14:solidFill>
              <w14:schemeClr w14:val="accent1"/>
            </w14:solidFill>
          </w14:textFill>
        </w:rPr>
        <w:t>就业单位分布</w:t>
      </w:r>
      <w:bookmarkEnd w:id="97"/>
      <w:bookmarkEnd w:id="98"/>
      <w:bookmarkEnd w:id="99"/>
      <w:bookmarkEnd w:id="100"/>
    </w:p>
    <w:p>
      <w:pPr>
        <w:pStyle w:val="199"/>
        <w:spacing w:before="156" w:beforeLines="50" w:after="156" w:afterLines="50"/>
        <w:ind w:firstLine="480"/>
      </w:pPr>
      <w:r>
        <w:rPr>
          <w:rFonts w:hint="eastAsia"/>
        </w:rPr>
        <w:t>学校2019届毕业生主要流向单位类型为“其他企业”，占比达到78.48</w:t>
      </w:r>
      <w:r>
        <w:t>%</w:t>
      </w:r>
      <w:r>
        <w:rPr>
          <w:rFonts w:hint="eastAsia"/>
        </w:rPr>
        <w:t>；其次为“国有企业”（8.89</w:t>
      </w:r>
      <w:r>
        <w:t>%</w:t>
      </w:r>
      <w:r>
        <w:rPr>
          <w:rFonts w:hint="eastAsia"/>
        </w:rPr>
        <w:t>）；就业单位规模主要集中在50人及以下（24.84%），其次是2000人及以上（</w:t>
      </w:r>
      <w:r>
        <w:t>21.17%</w:t>
      </w:r>
      <w:r>
        <w:rPr>
          <w:rFonts w:hint="eastAsia"/>
        </w:rPr>
        <w:t>）和51-100人（</w:t>
      </w:r>
      <w:r>
        <w:t>15.21%</w:t>
      </w:r>
      <w:r>
        <w:rPr>
          <w:rFonts w:hint="eastAsia"/>
        </w:rPr>
        <w:t>）。</w:t>
      </w:r>
    </w:p>
    <w:p>
      <w:pPr>
        <w:spacing w:line="360" w:lineRule="auto"/>
        <w:rPr>
          <w:rFonts w:ascii="Times New Roman" w:hAnsi="Times New Roman"/>
          <w:color w:val="000000"/>
          <w:sz w:val="24"/>
          <w:szCs w:val="24"/>
        </w:rPr>
      </w:pPr>
      <w:r>
        <w:rPr>
          <w:rFonts w:ascii="Times New Roman" w:hAnsi="Times New Roman"/>
        </w:rPr>
        <w:drawing>
          <wp:inline distT="0" distB="0" distL="0" distR="0">
            <wp:extent cx="6324600" cy="3057525"/>
            <wp:effectExtent l="0" t="0" r="0" b="0"/>
            <wp:docPr id="62" name="图表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pStyle w:val="203"/>
        <w:spacing w:before="0" w:beforeLines="0" w:after="0" w:afterLines="0"/>
      </w:pPr>
      <w:bookmarkStart w:id="101" w:name="_Toc27002302"/>
      <w:r>
        <w:rPr>
          <w:rFonts w:hint="eastAsia"/>
        </w:rPr>
        <w:t xml:space="preserve">图1- </w:t>
      </w:r>
      <w:r>
        <w:fldChar w:fldCharType="begin"/>
      </w:r>
      <w:r>
        <w:instrText xml:space="preserve"> </w:instrText>
      </w:r>
      <w:r>
        <w:rPr>
          <w:rFonts w:hint="eastAsia"/>
        </w:rPr>
        <w:instrText xml:space="preserve">SEQ 图1- \* ARABIC</w:instrText>
      </w:r>
      <w:r>
        <w:instrText xml:space="preserve"> </w:instrText>
      </w:r>
      <w:r>
        <w:fldChar w:fldCharType="separate"/>
      </w:r>
      <w:r>
        <w:t>9</w:t>
      </w:r>
      <w:r>
        <w:fldChar w:fldCharType="end"/>
      </w:r>
      <w:r>
        <w:t xml:space="preserve">  </w:t>
      </w:r>
      <w:r>
        <w:rPr>
          <w:rFonts w:hint="eastAsia"/>
        </w:rPr>
        <w:t>2019届毕业生就业单位性质分布</w:t>
      </w:r>
      <w:bookmarkEnd w:id="101"/>
    </w:p>
    <w:p>
      <w:pPr>
        <w:pStyle w:val="132"/>
        <w:ind w:firstLine="360"/>
      </w:pPr>
      <w:r>
        <w:rPr>
          <w:rFonts w:hint="eastAsia"/>
        </w:rPr>
        <w:t>注：其他企业指除国有企业和三资企业之外的所有企业。</w:t>
      </w:r>
    </w:p>
    <w:p>
      <w:pPr>
        <w:pStyle w:val="132"/>
        <w:ind w:firstLine="360"/>
      </w:pPr>
      <w:r>
        <w:rPr>
          <w:rFonts w:hint="eastAsia"/>
        </w:rPr>
        <w:t>数据来源：安徽省教育厅就业系统。</w:t>
      </w:r>
    </w:p>
    <w:p>
      <w:pPr>
        <w:pStyle w:val="132"/>
        <w:ind w:firstLine="360"/>
        <w:jc w:val="center"/>
      </w:pPr>
      <w:r>
        <w:rPr>
          <w:rFonts w:hint="eastAsia"/>
        </w:rPr>
        <w:drawing>
          <wp:inline distT="0" distB="0" distL="0" distR="0">
            <wp:extent cx="4543425" cy="2447925"/>
            <wp:effectExtent l="0" t="0" r="0" b="0"/>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pStyle w:val="203"/>
        <w:spacing w:before="0" w:beforeLines="0" w:after="0" w:afterLines="0"/>
      </w:pPr>
      <w:bookmarkStart w:id="102" w:name="_Toc525725797"/>
      <w:bookmarkStart w:id="103" w:name="_Toc27002303"/>
      <w:r>
        <w:rPr>
          <w:rFonts w:hint="eastAsia"/>
        </w:rPr>
        <w:t xml:space="preserve">图1- </w:t>
      </w:r>
      <w:r>
        <w:fldChar w:fldCharType="begin"/>
      </w:r>
      <w:r>
        <w:instrText xml:space="preserve"> </w:instrText>
      </w:r>
      <w:r>
        <w:rPr>
          <w:rFonts w:hint="eastAsia"/>
        </w:rPr>
        <w:instrText xml:space="preserve">SEQ 图1- \* ARABIC</w:instrText>
      </w:r>
      <w:r>
        <w:instrText xml:space="preserve"> </w:instrText>
      </w:r>
      <w:r>
        <w:fldChar w:fldCharType="separate"/>
      </w:r>
      <w:r>
        <w:t>10</w:t>
      </w:r>
      <w:r>
        <w:fldChar w:fldCharType="end"/>
      </w:r>
      <w:r>
        <w:t xml:space="preserve">  </w:t>
      </w:r>
      <w:r>
        <w:rPr>
          <w:rFonts w:hint="eastAsia"/>
        </w:rPr>
        <w:t>201</w:t>
      </w:r>
      <w:r>
        <w:t>9</w:t>
      </w:r>
      <w:r>
        <w:rPr>
          <w:rFonts w:hint="eastAsia"/>
        </w:rPr>
        <w:t>届毕业生就业单位规模分布</w:t>
      </w:r>
      <w:bookmarkEnd w:id="102"/>
      <w:bookmarkEnd w:id="103"/>
    </w:p>
    <w:p>
      <w:pPr>
        <w:pStyle w:val="132"/>
        <w:ind w:firstLine="360"/>
        <w:rPr>
          <w:caps w:val="0"/>
        </w:rPr>
      </w:pPr>
      <w:r>
        <w:t>数据来源</w:t>
      </w:r>
      <w:r>
        <w:rPr>
          <w:rFonts w:hint="eastAsia"/>
        </w:rPr>
        <w:t>：第三方机构新锦成</w:t>
      </w:r>
      <w:r>
        <w:t>-2019</w:t>
      </w:r>
      <w:r>
        <w:rPr>
          <w:rFonts w:hint="eastAsia"/>
        </w:rPr>
        <w:t>届</w:t>
      </w:r>
      <w:r>
        <w:t>毕业生就业与培养质量调查。</w:t>
      </w:r>
    </w:p>
    <w:bookmarkEnd w:id="89"/>
    <w:bookmarkEnd w:id="90"/>
    <w:p>
      <w:pPr>
        <w:pStyle w:val="142"/>
        <w:rPr>
          <w:color w:val="4472C4" w:themeColor="accent1"/>
          <w14:textFill>
            <w14:solidFill>
              <w14:schemeClr w14:val="accent1"/>
            </w14:solidFill>
          </w14:textFill>
        </w:rPr>
      </w:pPr>
      <w:bookmarkStart w:id="104" w:name="_Toc520328905"/>
      <w:bookmarkStart w:id="105" w:name="_Toc27601820"/>
      <w:bookmarkStart w:id="106" w:name="_Toc507580995"/>
      <w:bookmarkStart w:id="107" w:name="_Toc487790074"/>
      <w:bookmarkStart w:id="108" w:name="_Toc487789893"/>
      <w:bookmarkStart w:id="109" w:name="_Toc401122308"/>
      <w:r>
        <w:rPr>
          <w:rFonts w:hint="eastAsia"/>
          <w:color w:val="4472C4" w:themeColor="accent1"/>
          <w14:textFill>
            <w14:solidFill>
              <w14:schemeClr w14:val="accent1"/>
            </w14:solidFill>
          </w14:textFill>
        </w:rPr>
        <w:t>四</w:t>
      </w:r>
      <w:r>
        <w:rPr>
          <w:color w:val="4472C4" w:themeColor="accent1"/>
          <w14:textFill>
            <w14:solidFill>
              <w14:schemeClr w14:val="accent1"/>
            </w14:solidFill>
          </w14:textFill>
        </w:rPr>
        <w:t>、</w:t>
      </w:r>
      <w:r>
        <w:rPr>
          <w:rFonts w:hint="eastAsia"/>
          <w:color w:val="4472C4" w:themeColor="accent1"/>
          <w14:textFill>
            <w14:solidFill>
              <w14:schemeClr w14:val="accent1"/>
            </w14:solidFill>
          </w14:textFill>
        </w:rPr>
        <w:t>深造及创业情况</w:t>
      </w:r>
      <w:bookmarkEnd w:id="104"/>
      <w:bookmarkEnd w:id="105"/>
    </w:p>
    <w:p>
      <w:pPr>
        <w:pStyle w:val="152"/>
        <w:rPr>
          <w:color w:val="4472C4" w:themeColor="accent1"/>
          <w14:textFill>
            <w14:solidFill>
              <w14:schemeClr w14:val="accent1"/>
            </w14:solidFill>
          </w14:textFill>
        </w:rPr>
      </w:pPr>
      <w:bookmarkStart w:id="110" w:name="_Toc487790065"/>
      <w:bookmarkStart w:id="111" w:name="_Toc27601821"/>
      <w:bookmarkStart w:id="112" w:name="_Toc520328906"/>
      <w:bookmarkStart w:id="113" w:name="_Toc487789884"/>
      <w:r>
        <w:rPr>
          <w:rFonts w:hint="eastAsia"/>
          <w:color w:val="4472C4" w:themeColor="accent1"/>
          <w14:textFill>
            <w14:solidFill>
              <w14:schemeClr w14:val="accent1"/>
            </w14:solidFill>
          </w14:textFill>
        </w:rPr>
        <w:t>（一</w:t>
      </w:r>
      <w:r>
        <w:rPr>
          <w:color w:val="4472C4" w:themeColor="accent1"/>
          <w14:textFill>
            <w14:solidFill>
              <w14:schemeClr w14:val="accent1"/>
            </w14:solidFill>
          </w14:textFill>
        </w:rPr>
        <w:t>）</w:t>
      </w:r>
      <w:r>
        <w:rPr>
          <w:rFonts w:hint="eastAsia"/>
          <w:color w:val="4472C4" w:themeColor="accent1"/>
          <w14:textFill>
            <w14:solidFill>
              <w14:schemeClr w14:val="accent1"/>
            </w14:solidFill>
          </w14:textFill>
        </w:rPr>
        <w:t>国内升学</w:t>
      </w:r>
      <w:bookmarkEnd w:id="110"/>
      <w:bookmarkEnd w:id="111"/>
      <w:bookmarkEnd w:id="112"/>
      <w:bookmarkEnd w:id="113"/>
    </w:p>
    <w:p>
      <w:pPr>
        <w:pStyle w:val="199"/>
        <w:spacing w:before="156" w:beforeLines="50" w:after="156" w:afterLines="50"/>
        <w:ind w:firstLine="480"/>
      </w:pPr>
      <w:r>
        <w:rPr>
          <w:rFonts w:hint="eastAsia"/>
        </w:rPr>
        <w:t>学校2019届毕业生中，共有</w:t>
      </w:r>
      <w:r>
        <w:t>594</w:t>
      </w:r>
      <w:r>
        <w:rPr>
          <w:rFonts w:hint="eastAsia"/>
        </w:rPr>
        <w:t>人选择国内升学深造，升学率为11.</w:t>
      </w:r>
      <w:r>
        <w:t>70</w:t>
      </w:r>
      <w:r>
        <w:rPr>
          <w:rFonts w:hint="eastAsia"/>
        </w:rPr>
        <w:t>%。</w:t>
      </w:r>
    </w:p>
    <w:p>
      <w:pPr>
        <w:pStyle w:val="152"/>
        <w:rPr>
          <w:color w:val="4472C4" w:themeColor="accent1"/>
          <w14:textFill>
            <w14:solidFill>
              <w14:schemeClr w14:val="accent1"/>
            </w14:solidFill>
          </w14:textFill>
        </w:rPr>
      </w:pPr>
      <w:bookmarkStart w:id="114" w:name="_Toc487789885"/>
      <w:bookmarkStart w:id="115" w:name="_Toc487790066"/>
      <w:bookmarkStart w:id="116" w:name="_Toc520328907"/>
      <w:bookmarkStart w:id="117" w:name="_Toc27601822"/>
      <w:bookmarkStart w:id="118" w:name="_Toc393891209"/>
      <w:bookmarkStart w:id="119" w:name="_Toc393891213"/>
      <w:r>
        <w:rPr>
          <w:rFonts w:hint="eastAsia"/>
          <w:color w:val="4472C4" w:themeColor="accent1"/>
          <w14:textFill>
            <w14:solidFill>
              <w14:schemeClr w14:val="accent1"/>
            </w14:solidFill>
          </w14:textFill>
        </w:rPr>
        <w:t>（二</w:t>
      </w:r>
      <w:r>
        <w:rPr>
          <w:color w:val="4472C4" w:themeColor="accent1"/>
          <w14:textFill>
            <w14:solidFill>
              <w14:schemeClr w14:val="accent1"/>
            </w14:solidFill>
          </w14:textFill>
        </w:rPr>
        <w:t>）</w:t>
      </w:r>
      <w:r>
        <w:rPr>
          <w:rFonts w:hint="eastAsia"/>
          <w:color w:val="4472C4" w:themeColor="accent1"/>
          <w14:textFill>
            <w14:solidFill>
              <w14:schemeClr w14:val="accent1"/>
            </w14:solidFill>
          </w14:textFill>
        </w:rPr>
        <w:t>出国（境）</w:t>
      </w:r>
      <w:bookmarkEnd w:id="114"/>
      <w:bookmarkEnd w:id="115"/>
      <w:bookmarkEnd w:id="116"/>
      <w:bookmarkEnd w:id="117"/>
    </w:p>
    <w:p>
      <w:pPr>
        <w:pStyle w:val="199"/>
        <w:spacing w:before="156" w:beforeLines="50" w:after="156" w:afterLines="50"/>
        <w:ind w:firstLine="482"/>
      </w:pPr>
      <w:r>
        <w:rPr>
          <w:b/>
          <w:bCs/>
          <w:color w:val="4472C4" w:themeColor="accent1"/>
          <w14:textFill>
            <w14:solidFill>
              <w14:schemeClr w14:val="accent1"/>
            </w14:solidFill>
          </w14:textFill>
        </w:rPr>
        <w:t>留学人数及比例：</w:t>
      </w:r>
      <w:r>
        <w:rPr>
          <w:rFonts w:hint="eastAsia"/>
          <w:color w:val="auto"/>
        </w:rPr>
        <w:t>2019届毕</w:t>
      </w:r>
      <w:r>
        <w:rPr>
          <w:rFonts w:hint="eastAsia"/>
        </w:rPr>
        <w:t>业生中，共有11人选择出国（境）深造（0.22%</w:t>
      </w:r>
      <w:r>
        <w:t>）。</w:t>
      </w:r>
    </w:p>
    <w:bookmarkEnd w:id="118"/>
    <w:bookmarkEnd w:id="119"/>
    <w:p>
      <w:pPr>
        <w:pStyle w:val="152"/>
        <w:rPr>
          <w:color w:val="4472C4" w:themeColor="accent1"/>
          <w14:textFill>
            <w14:solidFill>
              <w14:schemeClr w14:val="accent1"/>
            </w14:solidFill>
          </w14:textFill>
        </w:rPr>
      </w:pPr>
      <w:bookmarkStart w:id="120" w:name="_Toc487789886"/>
      <w:bookmarkStart w:id="121" w:name="_Toc487790067"/>
      <w:bookmarkStart w:id="122" w:name="_Toc520328908"/>
      <w:bookmarkStart w:id="123" w:name="_Toc27601823"/>
      <w:r>
        <w:rPr>
          <w:rFonts w:hint="eastAsia"/>
          <w:color w:val="4472C4" w:themeColor="accent1"/>
          <w14:textFill>
            <w14:solidFill>
              <w14:schemeClr w14:val="accent1"/>
            </w14:solidFill>
          </w14:textFill>
        </w:rPr>
        <w:t>（三）自主创业</w:t>
      </w:r>
      <w:bookmarkEnd w:id="120"/>
      <w:bookmarkEnd w:id="121"/>
      <w:bookmarkEnd w:id="122"/>
      <w:bookmarkEnd w:id="123"/>
    </w:p>
    <w:p>
      <w:pPr>
        <w:pStyle w:val="199"/>
        <w:spacing w:before="156" w:beforeLines="50" w:after="156" w:afterLines="50"/>
        <w:ind w:firstLine="482"/>
      </w:pPr>
      <w:r>
        <w:rPr>
          <w:rFonts w:hint="eastAsia"/>
          <w:b/>
          <w:color w:val="4472C4" w:themeColor="accent1"/>
          <w14:textFill>
            <w14:solidFill>
              <w14:schemeClr w14:val="accent1"/>
            </w14:solidFill>
          </w14:textFill>
        </w:rPr>
        <w:t>创业</w:t>
      </w:r>
      <w:r>
        <w:rPr>
          <w:b/>
          <w:color w:val="4472C4" w:themeColor="accent1"/>
          <w14:textFill>
            <w14:solidFill>
              <w14:schemeClr w14:val="accent1"/>
            </w14:solidFill>
          </w14:textFill>
        </w:rPr>
        <w:t>人数及比例：</w:t>
      </w:r>
      <w:r>
        <w:rPr>
          <w:rFonts w:hint="eastAsia"/>
        </w:rPr>
        <w:t>学校2019届</w:t>
      </w:r>
      <w:r>
        <w:t>毕业生中，</w:t>
      </w:r>
      <w:r>
        <w:rPr>
          <w:rFonts w:hint="eastAsia"/>
        </w:rPr>
        <w:t>共有15人选择</w:t>
      </w:r>
      <w:r>
        <w:t>自主创业，</w:t>
      </w:r>
      <w:r>
        <w:rPr>
          <w:rFonts w:hint="eastAsia"/>
        </w:rPr>
        <w:t>创业率</w:t>
      </w:r>
      <w:r>
        <w:t>为</w:t>
      </w:r>
      <w:r>
        <w:rPr>
          <w:rFonts w:hint="eastAsia"/>
        </w:rPr>
        <w:t>0.29</w:t>
      </w:r>
      <w:r>
        <w:t>%。</w:t>
      </w:r>
    </w:p>
    <w:p>
      <w:pPr>
        <w:pStyle w:val="199"/>
        <w:spacing w:before="156" w:beforeLines="50" w:after="156" w:afterLines="50"/>
        <w:ind w:firstLine="482"/>
        <w:rPr>
          <w:bCs/>
          <w:color w:val="000000" w:themeColor="text1"/>
          <w14:textFill>
            <w14:solidFill>
              <w14:schemeClr w14:val="tx1"/>
            </w14:solidFill>
          </w14:textFill>
        </w:rPr>
      </w:pPr>
      <w:r>
        <w:rPr>
          <w:b/>
          <w:color w:val="4472C4" w:themeColor="accent1"/>
          <w14:textFill>
            <w14:solidFill>
              <w14:schemeClr w14:val="accent1"/>
            </w14:solidFill>
          </w14:textFill>
        </w:rPr>
        <w:t>创业行业</w:t>
      </w:r>
      <w:r>
        <w:rPr>
          <w:rFonts w:hint="eastAsia"/>
          <w:b/>
          <w:color w:val="4472C4" w:themeColor="accent1"/>
          <w14:textFill>
            <w14:solidFill>
              <w14:schemeClr w14:val="accent1"/>
            </w14:solidFill>
          </w14:textFill>
        </w:rPr>
        <w:t>：</w:t>
      </w:r>
      <w:r>
        <w:rPr>
          <w:rFonts w:hint="eastAsia"/>
          <w:bCs/>
          <w:color w:val="000000" w:themeColor="text1"/>
          <w14:textFill>
            <w14:solidFill>
              <w14:schemeClr w14:val="tx1"/>
            </w14:solidFill>
          </w14:textFill>
        </w:rPr>
        <w:t>2019届</w:t>
      </w:r>
      <w:r>
        <w:rPr>
          <w:bCs/>
          <w:color w:val="000000" w:themeColor="text1"/>
          <w14:textFill>
            <w14:solidFill>
              <w14:schemeClr w14:val="tx1"/>
            </w14:solidFill>
          </w14:textFill>
        </w:rPr>
        <w:t>毕业生</w:t>
      </w:r>
      <w:r>
        <w:rPr>
          <w:rFonts w:hint="eastAsia"/>
          <w:bCs/>
          <w:color w:val="000000" w:themeColor="text1"/>
          <w14:textFill>
            <w14:solidFill>
              <w14:schemeClr w14:val="tx1"/>
            </w14:solidFill>
          </w14:textFill>
        </w:rPr>
        <w:t>创业行业呈多元化</w:t>
      </w:r>
      <w:r>
        <w:rPr>
          <w:bCs/>
          <w:color w:val="000000" w:themeColor="text1"/>
          <w14:textFill>
            <w14:solidFill>
              <w14:schemeClr w14:val="tx1"/>
            </w14:solidFill>
          </w14:textFill>
        </w:rPr>
        <w:t>分布</w:t>
      </w:r>
      <w:r>
        <w:rPr>
          <w:rFonts w:hint="eastAsia"/>
          <w:bCs/>
          <w:color w:val="000000" w:themeColor="text1"/>
          <w14:textFill>
            <w14:solidFill>
              <w14:schemeClr w14:val="tx1"/>
            </w14:solidFill>
          </w14:textFill>
        </w:rPr>
        <w:t>，主要集中在“教育”及“文化艺术业”。</w:t>
      </w:r>
    </w:p>
    <w:p>
      <w:pPr>
        <w:pStyle w:val="136"/>
        <w:spacing w:line="240" w:lineRule="auto"/>
        <w:ind w:firstLine="0" w:firstLineChars="0"/>
        <w:jc w:val="center"/>
      </w:pPr>
      <w:r>
        <w:rPr>
          <w:b/>
        </w:rPr>
        <w:drawing>
          <wp:inline distT="0" distB="0" distL="0" distR="0">
            <wp:extent cx="5399405" cy="4319905"/>
            <wp:effectExtent l="0" t="0" r="0" b="4445"/>
            <wp:docPr id="461"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pStyle w:val="203"/>
        <w:spacing w:before="0" w:beforeLines="0" w:after="0" w:afterLines="0"/>
      </w:pPr>
      <w:bookmarkStart w:id="124" w:name="_Toc27002304"/>
      <w:r>
        <w:rPr>
          <w:rFonts w:hint="eastAsia"/>
        </w:rPr>
        <w:t xml:space="preserve">图1- </w:t>
      </w:r>
      <w:r>
        <w:fldChar w:fldCharType="begin"/>
      </w:r>
      <w:r>
        <w:instrText xml:space="preserve"> </w:instrText>
      </w:r>
      <w:r>
        <w:rPr>
          <w:rFonts w:hint="eastAsia"/>
        </w:rPr>
        <w:instrText xml:space="preserve">SEQ 图1- \* ARABIC</w:instrText>
      </w:r>
      <w:r>
        <w:instrText xml:space="preserve"> </w:instrText>
      </w:r>
      <w:r>
        <w:fldChar w:fldCharType="separate"/>
      </w:r>
      <w:r>
        <w:t>11</w:t>
      </w:r>
      <w:r>
        <w:fldChar w:fldCharType="end"/>
      </w:r>
      <w:r>
        <w:rPr>
          <w:rFonts w:hint="eastAsia"/>
        </w:rPr>
        <w:t xml:space="preserve">  </w:t>
      </w:r>
      <w:r>
        <w:t>2019届毕业生创业行业</w:t>
      </w:r>
      <w:bookmarkEnd w:id="124"/>
    </w:p>
    <w:p>
      <w:pPr>
        <w:pStyle w:val="132"/>
        <w:ind w:firstLine="360"/>
      </w:pPr>
      <w:r>
        <w:t>数据来源</w:t>
      </w:r>
      <w:r>
        <w:rPr>
          <w:rFonts w:hint="eastAsia"/>
        </w:rPr>
        <w:t>：第三方机构新锦成-</w:t>
      </w:r>
      <w:r>
        <w:t>2019届毕业生就业与培养质量调查。</w:t>
      </w:r>
    </w:p>
    <w:p>
      <w:pPr>
        <w:pStyle w:val="132"/>
        <w:spacing w:after="156" w:afterLines="50"/>
        <w:ind w:firstLine="360"/>
        <w:rPr>
          <w:color w:val="5B9BD5" w:themeColor="accent5"/>
          <w14:textFill>
            <w14:solidFill>
              <w14:schemeClr w14:val="accent5"/>
            </w14:solidFill>
          </w14:textFill>
        </w:rPr>
      </w:pPr>
    </w:p>
    <w:p>
      <w:pPr>
        <w:pStyle w:val="169"/>
        <w:spacing w:before="156" w:after="156" w:afterLines="50"/>
      </w:pPr>
      <w:bookmarkStart w:id="125" w:name="_Toc27601824"/>
      <w:r>
        <w:rPr>
          <w:rFonts w:hint="eastAsia"/>
        </w:rPr>
        <w:t>第二篇：就业创业工作举措</w:t>
      </w:r>
      <w:bookmarkEnd w:id="106"/>
      <w:bookmarkEnd w:id="125"/>
    </w:p>
    <w:p>
      <w:pPr>
        <w:pStyle w:val="199"/>
        <w:spacing w:before="156" w:beforeLines="50" w:after="156" w:afterLines="50"/>
        <w:ind w:firstLine="480"/>
      </w:pPr>
      <w:bookmarkStart w:id="126" w:name="_Toc443485610"/>
      <w:r>
        <w:rPr>
          <w:rFonts w:hint="eastAsia"/>
        </w:rPr>
        <w:t>皖西学院高度重视毕业生就业工作，组织机构保障到位，整个就业处的工作从以下几方面开展：一是强化组织保障，全力落实“一把手”工程；二是拓展就业空间，倾力打造两个市场；三是加强三方联动，合力构建三大平台；四是提升服务质量，着力完善“四化”建设。切实把学生的就业创业工作摆在突出位置，就业率和就业质量稳步提升，学校的创业氛围良好</w:t>
      </w:r>
      <w:r>
        <w:rPr>
          <w:rFonts w:hint="eastAsia" w:asciiTheme="minorEastAsia" w:hAnsiTheme="minorEastAsia" w:eastAsiaTheme="minorEastAsia"/>
        </w:rPr>
        <w:t>，</w:t>
      </w:r>
      <w:r>
        <w:rPr>
          <w:rFonts w:hint="eastAsia"/>
        </w:rPr>
        <w:t>用人单位满意度高。</w:t>
      </w:r>
    </w:p>
    <w:p>
      <w:pPr>
        <w:pStyle w:val="142"/>
        <w:pBdr>
          <w:top w:val="none" w:color="auto" w:sz="0" w:space="0"/>
          <w:left w:val="none" w:color="auto" w:sz="0" w:space="0"/>
          <w:bottom w:val="none" w:color="auto" w:sz="0" w:space="0"/>
          <w:right w:val="none" w:color="auto" w:sz="0" w:space="0"/>
        </w:pBdr>
        <w:rPr>
          <w:color w:val="4472C4" w:themeColor="accent1"/>
          <w14:textFill>
            <w14:solidFill>
              <w14:schemeClr w14:val="accent1"/>
            </w14:solidFill>
          </w14:textFill>
        </w:rPr>
      </w:pPr>
      <w:bookmarkStart w:id="127" w:name="_Toc27601825"/>
      <w:r>
        <w:rPr>
          <w:rFonts w:hint="eastAsia"/>
          <w:color w:val="4472C4" w:themeColor="accent1"/>
          <w14:textFill>
            <w14:solidFill>
              <w14:schemeClr w14:val="accent1"/>
            </w14:solidFill>
          </w14:textFill>
        </w:rPr>
        <w:t>一、强化组织保障，全力落实“一把手”工程</w:t>
      </w:r>
      <w:bookmarkEnd w:id="127"/>
    </w:p>
    <w:p>
      <w:pPr>
        <w:pStyle w:val="199"/>
        <w:spacing w:before="156" w:beforeLines="50" w:after="156" w:afterLines="50"/>
        <w:ind w:firstLine="480"/>
      </w:pPr>
      <w:r>
        <w:rPr>
          <w:rFonts w:hint="eastAsia"/>
          <w:bCs/>
        </w:rPr>
        <w:t>学</w:t>
      </w:r>
      <w:r>
        <w:rPr>
          <w:rFonts w:hint="eastAsia"/>
        </w:rPr>
        <w:t>校高度重视毕业生就业工作，将毕业生就业视为学校民生工程，从机制、条件、制度等全方位为毕业生就业工作提供强有力的保障。学校在深化创新创业教育教学改革中，全面深化“一把手”工程。为了加强对全校就业工作的领导和政策保障，学校成立了以校长为组长，分管教学和就业工作的校领导为副组长，各部门、各学院主要负责人为成员的校就业工作领导组，设立了学生就业指导中心，统筹负责全校的就业工作。各二级学院也相应成立以院长、书记为组长的院毕业生就业工作领导小组，并配备就业联络员，具体落实各学院的相关就业工作。全校建成了校领导主抓、学生就业指导中心统筹、学院为主、全员参与、校院班合力的就业工作运行常态机制。</w:t>
      </w:r>
    </w:p>
    <w:p>
      <w:pPr>
        <w:pStyle w:val="199"/>
        <w:spacing w:before="156" w:beforeLines="50" w:after="156" w:afterLines="50"/>
        <w:ind w:firstLine="480"/>
      </w:pPr>
      <w:r>
        <w:rPr>
          <w:rFonts w:hint="eastAsia"/>
        </w:rPr>
        <w:t>几年来，学校不断健全组织机构，不断加大条件投入，全力落实就业工作机构、人员、场地、经费“四到位”，全力保障就业工作顺利开展。目前，学校建有校级多功能就业招聘大厅和多媒体招聘教室5个，就业指导服务办公室1间，洽谈室1个，现代化面试室2间，各学院建有专场招聘的场所14个。学校于每年把毕业生就业工作纳入学校重点工作，列入计划，稳步推进，为有效开展毕业生就业工作提供了制度保障。另外，学校每年按超过当年学费收入的1%划拨专项就业工作经费。学校还先后下发了关于就业工作的系列文件，建立了就业工作简报、学生工作例会、就业工作警示等制度，完善了就业工作培训、就业工作研讨、就业质量跟踪调查及就业工作任务分解等机制。</w:t>
      </w:r>
    </w:p>
    <w:p>
      <w:pPr>
        <w:pStyle w:val="142"/>
        <w:pBdr>
          <w:top w:val="none" w:color="auto" w:sz="0" w:space="0"/>
          <w:left w:val="none" w:color="auto" w:sz="0" w:space="0"/>
          <w:bottom w:val="none" w:color="auto" w:sz="0" w:space="0"/>
          <w:right w:val="none" w:color="auto" w:sz="0" w:space="0"/>
        </w:pBdr>
        <w:rPr>
          <w:color w:val="4472C4" w:themeColor="accent1"/>
          <w14:textFill>
            <w14:solidFill>
              <w14:schemeClr w14:val="accent1"/>
            </w14:solidFill>
          </w14:textFill>
        </w:rPr>
      </w:pPr>
      <w:bookmarkStart w:id="128" w:name="_Toc507580997"/>
      <w:bookmarkStart w:id="129" w:name="_Toc27601826"/>
      <w:r>
        <w:rPr>
          <w:rFonts w:hint="eastAsia"/>
          <w:color w:val="4472C4" w:themeColor="accent1"/>
          <w14:textFill>
            <w14:solidFill>
              <w14:schemeClr w14:val="accent1"/>
            </w14:solidFill>
          </w14:textFill>
        </w:rPr>
        <w:t>二、拓展就业空间，倾力打造两个市场</w:t>
      </w:r>
      <w:bookmarkEnd w:id="128"/>
      <w:bookmarkEnd w:id="129"/>
    </w:p>
    <w:p>
      <w:pPr>
        <w:spacing w:before="156" w:beforeLines="50" w:after="156" w:afterLines="50" w:line="560" w:lineRule="exact"/>
        <w:ind w:firstLine="480" w:firstLineChars="200"/>
        <w:rPr>
          <w:rFonts w:ascii="Times New Roman" w:hAnsi="Times New Roman"/>
          <w:sz w:val="24"/>
          <w:szCs w:val="24"/>
        </w:rPr>
      </w:pPr>
      <w:bookmarkStart w:id="130" w:name="_Toc470707482"/>
      <w:r>
        <w:rPr>
          <w:rFonts w:ascii="Times New Roman" w:hAnsi="Times New Roman"/>
          <w:bCs/>
          <w:sz w:val="24"/>
          <w:szCs w:val="24"/>
        </w:rPr>
        <w:t>一</w:t>
      </w:r>
      <w:r>
        <w:rPr>
          <w:rFonts w:ascii="Times New Roman" w:hAnsi="Times New Roman"/>
          <w:sz w:val="24"/>
          <w:szCs w:val="24"/>
        </w:rPr>
        <w:t>直以来，学校主动适应市场需求，积极推行“走出去、引进来”战略，倾力拓展毕业生就业市场。在立足办好校内市场的基础上，主动与企业对接，密切联系各类企事业单位；与当地政府合作，加强与地方人社部门合作，落地生根，建立大学生就业基地。2019年，学校新建校级就业基地4个，与安徽中擎建设集团、南昌高新区政企合作企业——南昌鼎盛人力资源有限公司、吉宝皖江冷链物流园有限公司、六安市交通公路实业有限公司、安徽菁宏教育有限公司建立就业基地，考察了我校毕业生创办和工作的企业、单位，走访了毕业生，建立合作关系。学校主动加强与团省委、六安市团市委、宁国市人社局、灵璧县人社局、新安人才网、智联招聘等政府及人才机构对接，积极邀请优质用人单位进校开展就业招聘活动。</w:t>
      </w:r>
    </w:p>
    <w:p>
      <w:pPr>
        <w:spacing w:before="156" w:beforeLines="50" w:after="156" w:afterLines="50" w:line="560" w:lineRule="exact"/>
        <w:ind w:firstLine="480" w:firstLineChars="200"/>
        <w:rPr>
          <w:rFonts w:ascii="Times New Roman" w:hAnsi="Times New Roman"/>
          <w:sz w:val="24"/>
          <w:szCs w:val="24"/>
        </w:rPr>
      </w:pPr>
      <w:r>
        <w:rPr>
          <w:rFonts w:ascii="Times New Roman" w:hAnsi="Times New Roman"/>
          <w:sz w:val="24"/>
          <w:szCs w:val="24"/>
        </w:rPr>
        <w:t>在校内市场建设方面</w:t>
      </w:r>
      <w:bookmarkEnd w:id="130"/>
      <w:bookmarkStart w:id="131" w:name="_Toc502131660"/>
      <w:bookmarkStart w:id="132" w:name="_Toc470707483"/>
      <w:r>
        <w:rPr>
          <w:rFonts w:ascii="Times New Roman" w:hAnsi="Times New Roman"/>
          <w:sz w:val="24"/>
          <w:szCs w:val="24"/>
        </w:rPr>
        <w:t>：各二级学院在校内、校外两个就业市场建设方面，作出了多方努力并取得了一定成绩。二级学院按照学校统一工作部署，不遗余力，瞄准就业市场，结合专业特点，发挥各自优势，积极考察和调研校外就业市场，不断加强与地方政府和相关企业的联系合作，内引外联，通过在本院举办更具专业针对性的专场招聘会等方式，助推本院毕业生更加充分和更高质量的就业。此外，学校大力宣传党和国家引导鼓励毕业生到基层就业的各项方针政策，努力做好“选调生选拔”、“特岗教师计划”、“西部计划”、“三支一扶计划”、大学生征兵等各类项目的招募工作</w:t>
      </w:r>
      <w:bookmarkEnd w:id="131"/>
      <w:bookmarkEnd w:id="132"/>
      <w:r>
        <w:rPr>
          <w:rFonts w:hint="eastAsia" w:ascii="Times New Roman" w:hAnsi="Times New Roman"/>
          <w:sz w:val="24"/>
          <w:szCs w:val="24"/>
        </w:rPr>
        <w:t>。</w:t>
      </w:r>
      <w:bookmarkStart w:id="133" w:name="_Toc507580998"/>
    </w:p>
    <w:p>
      <w:pPr>
        <w:pStyle w:val="142"/>
        <w:pBdr>
          <w:top w:val="none" w:color="auto" w:sz="0" w:space="0"/>
          <w:left w:val="none" w:color="auto" w:sz="0" w:space="0"/>
          <w:bottom w:val="none" w:color="auto" w:sz="0" w:space="0"/>
          <w:right w:val="none" w:color="auto" w:sz="0" w:space="0"/>
        </w:pBdr>
        <w:rPr>
          <w:color w:val="4472C4" w:themeColor="accent1"/>
          <w14:textFill>
            <w14:solidFill>
              <w14:schemeClr w14:val="accent1"/>
            </w14:solidFill>
          </w14:textFill>
        </w:rPr>
      </w:pPr>
      <w:bookmarkStart w:id="134" w:name="_Toc27601827"/>
      <w:r>
        <w:rPr>
          <w:rFonts w:hint="eastAsia"/>
          <w:color w:val="4472C4" w:themeColor="accent1"/>
          <w14:textFill>
            <w14:solidFill>
              <w14:schemeClr w14:val="accent1"/>
            </w14:solidFill>
          </w14:textFill>
        </w:rPr>
        <w:t>三、加强三方联动，合力构建三大平台</w:t>
      </w:r>
      <w:bookmarkEnd w:id="133"/>
      <w:bookmarkEnd w:id="134"/>
    </w:p>
    <w:p>
      <w:pPr>
        <w:spacing w:before="156" w:beforeLines="50" w:after="156" w:afterLines="50" w:line="520" w:lineRule="exact"/>
        <w:ind w:firstLine="420"/>
        <w:rPr>
          <w:rFonts w:ascii="Times New Roman" w:hAnsi="Times New Roman"/>
          <w:b/>
          <w:bCs/>
          <w:sz w:val="24"/>
          <w:szCs w:val="24"/>
        </w:rPr>
      </w:pPr>
      <w:bookmarkStart w:id="135" w:name="_Toc507580999"/>
      <w:r>
        <w:rPr>
          <w:rFonts w:ascii="Times New Roman" w:hAnsi="Times New Roman"/>
          <w:bCs/>
          <w:sz w:val="24"/>
          <w:szCs w:val="24"/>
        </w:rPr>
        <w:t>学校始终将毕业生就业率与毕业生就业工作质量</w:t>
      </w:r>
      <w:r>
        <w:rPr>
          <w:rFonts w:ascii="Times New Roman" w:hAnsi="Times New Roman"/>
          <w:sz w:val="24"/>
          <w:szCs w:val="24"/>
        </w:rPr>
        <w:t>摆在更加突出的位置，讲求工作实效，创新工作方法，以生为本，追求卓越。学校与社会合力打造三大</w:t>
      </w:r>
      <w:r>
        <w:rPr>
          <w:rFonts w:ascii="Times New Roman" w:hAnsi="Times New Roman"/>
          <w:bCs/>
          <w:sz w:val="24"/>
          <w:szCs w:val="24"/>
        </w:rPr>
        <w:t>平台，即校地合作平台、校企对接平台及大学生创新创业平台。充分利用政府力量组织当地企业与学校开展动态性常态化合作交流工作；另一方面，校地双方共同为离校未就业等就业困难学生做好跟踪服务，做到“离校不离心，服务不断线”。建立校企合作平台是一项互惠共赢的直接性面对面工作，学校通过举办专场双选会、就业基地挂牌、签订校企合作框架协议、开展就业见习等多种形式，逐步扩大合作领域，不断加强合作力度。为了扩大在省内外知名企业中的影响力，学校主动对接市场，定期考察调研与学校所设专业紧密结合的省内外行业企业，已建成了以长三角为主的全国近400家校企对接合作单位。2019年，学校定期举办大、中、小型招聘会及各种宣讲会，参与企业1430家，包括已挂牌的基地企业、校友企业、一直保持良好合作关系的近百家企业，以及地方最近几年新成立的中小微企业，校企合作平台为实现毕业生更加充分就业和更高质量就业奠定了坚实的基础。</w:t>
      </w:r>
    </w:p>
    <w:p>
      <w:pPr>
        <w:spacing w:before="156" w:beforeLines="50" w:after="156" w:afterLines="50" w:line="520" w:lineRule="exact"/>
        <w:ind w:firstLine="480" w:firstLineChars="200"/>
        <w:rPr>
          <w:rFonts w:ascii="Times New Roman" w:hAnsi="Times New Roman"/>
          <w:sz w:val="24"/>
          <w:szCs w:val="24"/>
        </w:rPr>
      </w:pPr>
      <w:r>
        <w:rPr>
          <w:rFonts w:ascii="Times New Roman" w:hAnsi="Times New Roman"/>
          <w:sz w:val="24"/>
          <w:szCs w:val="24"/>
        </w:rPr>
        <w:t>在大学生创新创业平台建设方面，学校注重建设校内与校外综合性立体式创新创业平</w:t>
      </w:r>
      <w:r>
        <w:rPr>
          <w:rFonts w:ascii="Times New Roman" w:hAnsi="Times New Roman"/>
          <w:bCs/>
          <w:sz w:val="24"/>
          <w:szCs w:val="24"/>
        </w:rPr>
        <w:t>台。目前，校内大学生创业基地建筑面积达1800平米，已建成180平方米标准化创新创业模拟实验室。2016年，学校获批安徽省首批创业学院，在创业学院功能区中，建立六个分室，配以200</w:t>
      </w:r>
      <w:r>
        <w:rPr>
          <w:rFonts w:ascii="Times New Roman" w:hAnsi="Times New Roman"/>
          <w:sz w:val="24"/>
          <w:szCs w:val="24"/>
        </w:rPr>
        <w:t>台计算机和服务器、多媒体教学系统、若干仿真模拟软件。同时，学校正在积极建设创客实验室、创新创业工作室、众创空间等多功能创新创业平台。另一方面，学校全面履行六安大学科技园建设主体责任，深度融入，以高水平成果转化直接服务区域经济建设与应用型人才培养。为大学生创新创业提供宽松场地和更加优质服务，已在其内建成5000平方米的众创空间，作为大学生创业苗圃、创业项目孵化园。</w:t>
      </w:r>
    </w:p>
    <w:p>
      <w:pPr>
        <w:pStyle w:val="142"/>
        <w:pBdr>
          <w:top w:val="none" w:color="auto" w:sz="0" w:space="0"/>
          <w:left w:val="none" w:color="auto" w:sz="0" w:space="0"/>
          <w:bottom w:val="none" w:color="auto" w:sz="0" w:space="0"/>
          <w:right w:val="none" w:color="auto" w:sz="0" w:space="0"/>
        </w:pBdr>
        <w:rPr>
          <w:color w:val="4472C4" w:themeColor="accent1"/>
          <w14:textFill>
            <w14:solidFill>
              <w14:schemeClr w14:val="accent1"/>
            </w14:solidFill>
          </w14:textFill>
        </w:rPr>
      </w:pPr>
      <w:bookmarkStart w:id="136" w:name="_Toc27601828"/>
      <w:r>
        <w:rPr>
          <w:rFonts w:hint="eastAsia"/>
          <w:color w:val="4472C4" w:themeColor="accent1"/>
          <w14:textFill>
            <w14:solidFill>
              <w14:schemeClr w14:val="accent1"/>
            </w14:solidFill>
          </w14:textFill>
        </w:rPr>
        <w:t>四、提升服务质量，着力完善“四化”建设</w:t>
      </w:r>
      <w:bookmarkEnd w:id="135"/>
      <w:bookmarkEnd w:id="136"/>
    </w:p>
    <w:bookmarkEnd w:id="126"/>
    <w:p>
      <w:pPr>
        <w:spacing w:before="156" w:beforeLines="50" w:after="156" w:afterLines="50" w:line="520" w:lineRule="exact"/>
        <w:ind w:firstLine="480" w:firstLineChars="200"/>
        <w:rPr>
          <w:rFonts w:ascii="Times New Roman" w:hAnsi="Times New Roman"/>
          <w:sz w:val="24"/>
          <w:szCs w:val="24"/>
        </w:rPr>
      </w:pPr>
      <w:r>
        <w:rPr>
          <w:rFonts w:ascii="Times New Roman" w:hAnsi="Times New Roman"/>
          <w:sz w:val="24"/>
          <w:szCs w:val="24"/>
        </w:rPr>
        <w:t>学校持续加强就业工作全程化、全员化、信息化、专业化建设，将此作为主动适应市场需求、提升就业工作水平的基础性工作。学校一向重视学生</w:t>
      </w:r>
      <w:r>
        <w:rPr>
          <w:rFonts w:ascii="Times New Roman" w:hAnsi="Times New Roman"/>
          <w:sz w:val="24"/>
          <w:szCs w:val="24"/>
          <w:shd w:val="clear" w:color="auto" w:fill="FFFFFF"/>
        </w:rPr>
        <w:t>就业创业工作，持续完善</w:t>
      </w:r>
      <w:r>
        <w:rPr>
          <w:rFonts w:hint="eastAsia" w:ascii="Times New Roman" w:hAnsi="Times New Roman"/>
          <w:sz w:val="24"/>
          <w:szCs w:val="24"/>
        </w:rPr>
        <w:t>“</w:t>
      </w:r>
      <w:r>
        <w:rPr>
          <w:rFonts w:ascii="Times New Roman" w:hAnsi="Times New Roman"/>
          <w:sz w:val="24"/>
          <w:szCs w:val="24"/>
        </w:rPr>
        <w:t>四化</w:t>
      </w:r>
      <w:r>
        <w:rPr>
          <w:rFonts w:hint="eastAsia" w:ascii="Times New Roman" w:hAnsi="Times New Roman"/>
          <w:sz w:val="24"/>
          <w:szCs w:val="24"/>
        </w:rPr>
        <w:t>”</w:t>
      </w:r>
      <w:r>
        <w:rPr>
          <w:rFonts w:ascii="Times New Roman" w:hAnsi="Times New Roman"/>
          <w:sz w:val="24"/>
          <w:szCs w:val="24"/>
        </w:rPr>
        <w:t>建设。</w:t>
      </w:r>
    </w:p>
    <w:p>
      <w:pPr>
        <w:spacing w:before="156" w:beforeLines="50" w:after="156" w:afterLines="50" w:line="520" w:lineRule="exact"/>
        <w:ind w:firstLine="480" w:firstLineChars="200"/>
        <w:rPr>
          <w:rFonts w:ascii="Times New Roman" w:hAnsi="Times New Roman"/>
          <w:sz w:val="24"/>
          <w:szCs w:val="24"/>
        </w:rPr>
      </w:pPr>
      <w:r>
        <w:rPr>
          <w:rFonts w:ascii="Times New Roman" w:hAnsi="Times New Roman"/>
          <w:b/>
          <w:bCs/>
          <w:sz w:val="24"/>
          <w:szCs w:val="24"/>
        </w:rPr>
        <w:t>一是就业工作全程化。</w:t>
      </w:r>
      <w:r>
        <w:rPr>
          <w:rFonts w:ascii="Times New Roman" w:hAnsi="Times New Roman"/>
          <w:sz w:val="24"/>
          <w:szCs w:val="24"/>
        </w:rPr>
        <w:t>学校从新生入学一直持续到毕业离校，始终将职业生涯规划、职业道德教育、理想信念与社会责任教育贯穿于整个大学四年。尤其在“大众创业、万众创新”的新常态下，学校把大学生创新创业教育作为教育教学的核心工作来抓，近三年，针对在校大学生开展《创业模拟实训》、《网络创业培训》，共培训学生1210人，其中2017年培训420人。在创业培训的内容模块上，除了创业基础理论讲解、计算机网络模拟、创业计划书写作等模块外，将创业培训与创业讲座、企业家论坛、企业实地参观等相结合，实现创业培训形式的多样化。2015年开始，在大一年级中开设《创新创业意识教育》、《创新创业基础》必修课程，实现创新创业课程的全覆盖。2017年秋学期，新建创新创业教研室，整合全校创新创业师资力量，实现必修课程的课堂教学常态化。同时，近三年开设《KAB》、《SYB》、《ERP》、《网络创业基础》等创新创业选修课程模块，选修学生数近千人。</w:t>
      </w:r>
    </w:p>
    <w:p>
      <w:pPr>
        <w:spacing w:before="156" w:beforeLines="50" w:after="156" w:afterLines="50" w:line="520" w:lineRule="exact"/>
        <w:ind w:firstLine="480" w:firstLineChars="200"/>
        <w:rPr>
          <w:rFonts w:ascii="Times New Roman" w:hAnsi="Times New Roman"/>
          <w:sz w:val="24"/>
          <w:szCs w:val="24"/>
        </w:rPr>
      </w:pPr>
      <w:r>
        <w:rPr>
          <w:rFonts w:ascii="Times New Roman" w:hAnsi="Times New Roman"/>
          <w:b/>
          <w:bCs/>
          <w:sz w:val="24"/>
          <w:szCs w:val="24"/>
        </w:rPr>
        <w:t>二是就业工作全员化。</w:t>
      </w:r>
      <w:r>
        <w:rPr>
          <w:rFonts w:ascii="Times New Roman" w:hAnsi="Times New Roman"/>
          <w:sz w:val="24"/>
          <w:szCs w:val="24"/>
        </w:rPr>
        <w:t>为了使就业创业工作不断取得新的成绩，再上层楼，在学校领导的关心下，通过全校师生员工的共同努力，学校与二级学院（部门）汇聚合力，齐抓共管，形成了“一把手”抓、“两手”抓、“千手”抓的良好工作格局，呈现出全员关心、支持和参与就业的喜人局面。</w:t>
      </w:r>
    </w:p>
    <w:p>
      <w:pPr>
        <w:spacing w:before="156" w:beforeLines="50" w:after="156" w:afterLines="50" w:line="520" w:lineRule="exact"/>
        <w:ind w:firstLine="480" w:firstLineChars="200"/>
        <w:rPr>
          <w:rFonts w:ascii="Times New Roman" w:hAnsi="Times New Roman"/>
          <w:sz w:val="24"/>
          <w:szCs w:val="24"/>
        </w:rPr>
      </w:pPr>
      <w:r>
        <w:rPr>
          <w:rFonts w:ascii="Times New Roman" w:hAnsi="Times New Roman"/>
          <w:b/>
          <w:bCs/>
          <w:sz w:val="24"/>
          <w:szCs w:val="24"/>
        </w:rPr>
        <w:t>三是就业工作信息化。</w:t>
      </w:r>
      <w:r>
        <w:rPr>
          <w:rFonts w:ascii="Times New Roman" w:hAnsi="Times New Roman"/>
          <w:sz w:val="24"/>
          <w:szCs w:val="24"/>
        </w:rPr>
        <w:t>在信息化建设方面，学校通过加强平台建设，积极开辟“一群（QQ群）、二站（就业信息网站、一体化网站）、三平台（手机短信平台、微博客户端平台、微信公众平台）、四系统（毕业生生源采集系统、就业工作内部办公系统、就业动态监测系统、就业派遣管理系统）等10个信息化服务载体，全方位为毕业生提供了大量方便、快捷、高效的就业信息服务。</w:t>
      </w:r>
    </w:p>
    <w:p>
      <w:pPr>
        <w:spacing w:before="156" w:beforeLines="50" w:after="156" w:afterLines="50" w:line="520" w:lineRule="exact"/>
        <w:ind w:firstLine="480" w:firstLineChars="200"/>
        <w:rPr>
          <w:rFonts w:ascii="Times New Roman" w:hAnsi="Times New Roman"/>
          <w:b/>
          <w:sz w:val="24"/>
          <w:szCs w:val="24"/>
        </w:rPr>
      </w:pPr>
      <w:r>
        <w:rPr>
          <w:rFonts w:ascii="Times New Roman" w:hAnsi="Times New Roman"/>
          <w:b/>
          <w:bCs/>
          <w:sz w:val="24"/>
          <w:szCs w:val="24"/>
        </w:rPr>
        <w:t>四是就业工作专业化。</w:t>
      </w:r>
      <w:r>
        <w:rPr>
          <w:rFonts w:ascii="Times New Roman" w:hAnsi="Times New Roman"/>
          <w:sz w:val="24"/>
          <w:szCs w:val="24"/>
        </w:rPr>
        <w:t>从某种意义上说，</w:t>
      </w:r>
      <w:r>
        <w:rPr>
          <w:rFonts w:ascii="Times New Roman" w:hAnsi="Times New Roman"/>
          <w:sz w:val="24"/>
          <w:szCs w:val="24"/>
          <w:shd w:val="clear" w:color="auto" w:fill="FFFFFF"/>
        </w:rPr>
        <w:t>就业工作的关键在于专业化建设，</w:t>
      </w:r>
      <w:r>
        <w:rPr>
          <w:rFonts w:ascii="Times New Roman" w:hAnsi="Times New Roman"/>
          <w:sz w:val="24"/>
          <w:szCs w:val="24"/>
        </w:rPr>
        <w:t>包括专门工作队伍、管理水平、服务质量以及专业课程开设。为此，学校一直把</w:t>
      </w:r>
      <w:r>
        <w:rPr>
          <w:rFonts w:ascii="Times New Roman" w:hAnsi="Times New Roman"/>
          <w:sz w:val="24"/>
          <w:szCs w:val="24"/>
          <w:shd w:val="clear" w:color="auto" w:fill="FFFFFF"/>
        </w:rPr>
        <w:t>就业工作的指导及指导理念的更新、就业指导机构的建立健全、就业指导队伍的建设、就业指导课教学质量的提高以及就业服务质量的提升当作就业工作的头等大事来抓，形成了学校领导带头抓、学院领导主要抓、分管领导靠前抓、就业工作人员和辅导员具体抓的联动、互动、常态化管理机制。</w:t>
      </w:r>
    </w:p>
    <w:bookmarkEnd w:id="107"/>
    <w:bookmarkEnd w:id="108"/>
    <w:bookmarkEnd w:id="109"/>
    <w:p>
      <w:pPr>
        <w:spacing w:line="360" w:lineRule="auto"/>
        <w:jc w:val="both"/>
        <w:rPr>
          <w:rFonts w:ascii="Times New Roman" w:hAnsi="Times New Roman"/>
          <w:sz w:val="24"/>
          <w:szCs w:val="24"/>
        </w:rPr>
      </w:pPr>
    </w:p>
    <w:p>
      <w:pPr>
        <w:pStyle w:val="169"/>
        <w:spacing w:before="156" w:after="156" w:afterLines="50"/>
      </w:pPr>
      <w:bookmarkStart w:id="137" w:name="_Toc27601829"/>
      <w:bookmarkStart w:id="138" w:name="_Toc487790110"/>
      <w:bookmarkStart w:id="139" w:name="_Toc487789929"/>
      <w:bookmarkStart w:id="140" w:name="_Toc520328945"/>
      <w:r>
        <w:rPr>
          <w:rFonts w:hint="eastAsia"/>
        </w:rPr>
        <w:t>第三</w:t>
      </w:r>
      <w:r>
        <w:t>篇：</w:t>
      </w:r>
      <w:r>
        <w:rPr>
          <w:rFonts w:hint="eastAsia"/>
        </w:rPr>
        <w:t>就业质量相关分析</w:t>
      </w:r>
      <w:bookmarkEnd w:id="137"/>
    </w:p>
    <w:p>
      <w:pPr>
        <w:pStyle w:val="179"/>
        <w:spacing w:before="156" w:beforeLines="50" w:after="156" w:afterLines="50"/>
        <w:ind w:firstLine="480"/>
      </w:pPr>
      <w:bookmarkStart w:id="141" w:name="_Hlk19114424"/>
      <w:r>
        <w:rPr>
          <w:rFonts w:hint="eastAsia"/>
        </w:rPr>
        <w:t>从</w:t>
      </w:r>
      <w:r>
        <w:rPr>
          <w:rFonts w:hint="eastAsia" w:ascii="宋体" w:hAnsi="宋体"/>
        </w:rPr>
        <w:t>“</w:t>
      </w:r>
      <w:r>
        <w:rPr>
          <w:rFonts w:hint="eastAsia"/>
        </w:rPr>
        <w:t>学</w:t>
      </w:r>
      <w:r>
        <w:t>生</w:t>
      </w:r>
      <w:r>
        <w:rPr>
          <w:rFonts w:hint="eastAsia" w:ascii="宋体" w:hAnsi="宋体"/>
        </w:rPr>
        <w:t>”</w:t>
      </w:r>
      <w:r>
        <w:rPr>
          <w:rFonts w:hint="eastAsia"/>
        </w:rPr>
        <w:t>和</w:t>
      </w:r>
      <w:r>
        <w:rPr>
          <w:rFonts w:hint="eastAsia" w:ascii="宋体" w:hAnsi="宋体"/>
        </w:rPr>
        <w:t>“</w:t>
      </w:r>
      <w:r>
        <w:t>用人单位</w:t>
      </w:r>
      <w:r>
        <w:rPr>
          <w:rFonts w:hint="eastAsia" w:ascii="宋体" w:hAnsi="宋体"/>
        </w:rPr>
        <w:t>”</w:t>
      </w:r>
      <w:r>
        <w:t>视角</w:t>
      </w:r>
      <w:r>
        <w:rPr>
          <w:rFonts w:hint="eastAsia"/>
        </w:rPr>
        <w:t>综合评价高校毕业生</w:t>
      </w:r>
      <w:r>
        <w:t>的就业质量，</w:t>
      </w:r>
      <w:r>
        <w:rPr>
          <w:rFonts w:hint="eastAsia"/>
        </w:rPr>
        <w:t>可以较全面的了解毕业生当前</w:t>
      </w:r>
      <w:r>
        <w:t>的</w:t>
      </w:r>
      <w:r>
        <w:rPr>
          <w:rFonts w:hint="eastAsia"/>
        </w:rPr>
        <w:t>就业</w:t>
      </w:r>
      <w:r>
        <w:t>现状</w:t>
      </w:r>
      <w:r>
        <w:rPr>
          <w:rFonts w:hint="eastAsia"/>
        </w:rPr>
        <w:t>及其</w:t>
      </w:r>
      <w:r>
        <w:t>竞争</w:t>
      </w:r>
      <w:r>
        <w:rPr>
          <w:rFonts w:hint="eastAsia"/>
        </w:rPr>
        <w:t>优劣势。其中</w:t>
      </w:r>
      <w:r>
        <w:t>，</w:t>
      </w:r>
      <w:r>
        <w:rPr>
          <w:rFonts w:hint="eastAsia"/>
        </w:rPr>
        <w:t>毕业生</w:t>
      </w:r>
      <w:r>
        <w:t>对自身就业质量评价</w:t>
      </w:r>
      <w:r>
        <w:rPr>
          <w:rFonts w:hint="eastAsia"/>
        </w:rPr>
        <w:t>指标包括薪酬情况、目前</w:t>
      </w:r>
      <w:r>
        <w:t>工作</w:t>
      </w:r>
      <w:r>
        <w:rPr>
          <w:rFonts w:hint="eastAsia"/>
        </w:rPr>
        <w:t>与所学专业的相关情况、对目前工作的满意情况和目前</w:t>
      </w:r>
      <w:r>
        <w:t>工作与自身职业期待</w:t>
      </w:r>
      <w:r>
        <w:rPr>
          <w:rFonts w:hint="eastAsia"/>
        </w:rPr>
        <w:t>的</w:t>
      </w:r>
      <w:r>
        <w:t>吻合情况</w:t>
      </w:r>
      <w:r>
        <w:rPr>
          <w:rFonts w:hint="eastAsia"/>
        </w:rPr>
        <w:t>。用人单位</w:t>
      </w:r>
      <w:r>
        <w:t>对毕业生的评价</w:t>
      </w:r>
      <w:r>
        <w:rPr>
          <w:rFonts w:hint="eastAsia"/>
        </w:rPr>
        <w:t>指标</w:t>
      </w:r>
      <w:r>
        <w:t>包括</w:t>
      </w:r>
      <w:r>
        <w:rPr>
          <w:rFonts w:hint="eastAsia"/>
        </w:rPr>
        <w:t>用人</w:t>
      </w:r>
      <w:r>
        <w:t>单位对毕业生工作表现的满意度</w:t>
      </w:r>
      <w:r>
        <w:rPr>
          <w:rFonts w:hint="eastAsia"/>
        </w:rPr>
        <w:t>评价</w:t>
      </w:r>
      <w:r>
        <w:t>和</w:t>
      </w:r>
      <w:r>
        <w:rPr>
          <w:rFonts w:hint="eastAsia"/>
        </w:rPr>
        <w:t>对毕业生能力优势及不足的评价。相关统计分析结果</w:t>
      </w:r>
      <w:r>
        <w:t>如下所示</w:t>
      </w:r>
      <w:r>
        <w:rPr>
          <w:rFonts w:hint="eastAsia"/>
        </w:rPr>
        <w:t>。</w:t>
      </w:r>
      <w:bookmarkEnd w:id="141"/>
    </w:p>
    <w:p>
      <w:pPr>
        <w:pStyle w:val="142"/>
        <w:pBdr>
          <w:top w:val="none" w:color="auto" w:sz="0" w:space="0"/>
          <w:left w:val="none" w:color="auto" w:sz="0" w:space="0"/>
          <w:bottom w:val="none" w:color="auto" w:sz="0" w:space="0"/>
          <w:right w:val="none" w:color="auto" w:sz="0" w:space="0"/>
        </w:pBdr>
        <w:rPr>
          <w:color w:val="5B9BD5" w:themeColor="accent5"/>
          <w14:textFill>
            <w14:solidFill>
              <w14:schemeClr w14:val="accent5"/>
            </w14:solidFill>
          </w14:textFill>
        </w:rPr>
      </w:pPr>
      <w:bookmarkStart w:id="142" w:name="_Toc27601830"/>
      <w:r>
        <w:rPr>
          <w:rFonts w:hint="eastAsia"/>
          <w:color w:val="4472C4" w:themeColor="accent1"/>
          <w14:textFill>
            <w14:solidFill>
              <w14:schemeClr w14:val="accent1"/>
            </w14:solidFill>
          </w14:textFill>
        </w:rPr>
        <w:t>一</w:t>
      </w:r>
      <w:r>
        <w:rPr>
          <w:color w:val="4472C4" w:themeColor="accent1"/>
          <w14:textFill>
            <w14:solidFill>
              <w14:schemeClr w14:val="accent1"/>
            </w14:solidFill>
          </w14:textFill>
        </w:rPr>
        <w:t>、毕业生</w:t>
      </w:r>
      <w:r>
        <w:rPr>
          <w:rFonts w:hint="eastAsia"/>
          <w:color w:val="4472C4" w:themeColor="accent1"/>
          <w14:textFill>
            <w14:solidFill>
              <w14:schemeClr w14:val="accent1"/>
            </w14:solidFill>
          </w14:textFill>
        </w:rPr>
        <w:t>就业质量相关分析</w:t>
      </w:r>
      <w:bookmarkEnd w:id="142"/>
    </w:p>
    <w:p>
      <w:pPr>
        <w:pStyle w:val="152"/>
        <w:spacing w:after="156" w:afterLines="50"/>
        <w:rPr>
          <w:color w:val="4472C4" w:themeColor="accent1"/>
          <w14:textFill>
            <w14:solidFill>
              <w14:schemeClr w14:val="accent1"/>
            </w14:solidFill>
          </w14:textFill>
        </w:rPr>
      </w:pPr>
      <w:bookmarkStart w:id="143" w:name="_Toc27601831"/>
      <w:r>
        <w:rPr>
          <w:rFonts w:hint="eastAsia"/>
          <w:color w:val="4472C4" w:themeColor="accent1"/>
          <w14:textFill>
            <w14:solidFill>
              <w14:schemeClr w14:val="accent1"/>
            </w14:solidFill>
          </w14:textFill>
        </w:rPr>
        <w:t>（一）薪酬</w:t>
      </w:r>
      <w:r>
        <w:rPr>
          <w:color w:val="4472C4" w:themeColor="accent1"/>
          <w14:textFill>
            <w14:solidFill>
              <w14:schemeClr w14:val="accent1"/>
            </w14:solidFill>
          </w14:textFill>
        </w:rPr>
        <w:t>水平</w:t>
      </w:r>
      <w:bookmarkEnd w:id="143"/>
    </w:p>
    <w:p>
      <w:pPr>
        <w:pStyle w:val="199"/>
        <w:spacing w:before="156" w:beforeLines="50" w:after="156" w:afterLines="50"/>
        <w:ind w:firstLine="482"/>
      </w:pPr>
      <w:r>
        <w:rPr>
          <w:rFonts w:hint="eastAsia"/>
          <w:b/>
          <w:color w:val="4472C4" w:themeColor="accent1"/>
          <w14:textFill>
            <w14:solidFill>
              <w14:schemeClr w14:val="accent1"/>
            </w14:solidFill>
          </w14:textFill>
        </w:rPr>
        <w:t>总体薪酬收入：</w:t>
      </w:r>
      <w:r>
        <w:rPr>
          <w:rFonts w:hint="eastAsia"/>
        </w:rPr>
        <w:t>学校</w:t>
      </w:r>
      <w:r>
        <w:t>2019届</w:t>
      </w:r>
      <w:r>
        <w:rPr>
          <w:rFonts w:hint="eastAsia"/>
        </w:rPr>
        <w:t>毕业生税前月均收入为</w:t>
      </w:r>
      <w:bookmarkStart w:id="144" w:name="_Hlk24272202"/>
      <w:r>
        <w:rPr>
          <w:rFonts w:hint="eastAsia"/>
        </w:rPr>
        <w:t>4381.95</w:t>
      </w:r>
      <w:bookmarkEnd w:id="144"/>
      <w:r>
        <w:rPr>
          <w:rFonts w:hint="eastAsia"/>
        </w:rPr>
        <w:t>元；薪酬区间</w:t>
      </w:r>
      <w:r>
        <w:t>主要集中</w:t>
      </w:r>
      <w:r>
        <w:rPr>
          <w:rFonts w:hint="eastAsia"/>
        </w:rPr>
        <w:t>在3</w:t>
      </w:r>
      <w:r>
        <w:rPr>
          <w:rFonts w:hint="eastAsia" w:cs="宋体"/>
          <w:color w:val="000000" w:themeColor="text1"/>
          <w:szCs w:val="21"/>
          <w14:textFill>
            <w14:solidFill>
              <w14:schemeClr w14:val="tx1"/>
            </w14:solidFill>
          </w14:textFill>
        </w:rPr>
        <w:t>50</w:t>
      </w:r>
      <w:r>
        <w:rPr>
          <w:rFonts w:cs="宋体"/>
          <w:color w:val="000000" w:themeColor="text1"/>
          <w:szCs w:val="21"/>
          <w14:textFill>
            <w14:solidFill>
              <w14:schemeClr w14:val="tx1"/>
            </w14:solidFill>
          </w14:textFill>
        </w:rPr>
        <w:t>1</w:t>
      </w:r>
      <w:r>
        <w:rPr>
          <w:rFonts w:hint="eastAsia" w:cs="宋体" w:eastAsiaTheme="minorEastAsia"/>
          <w:color w:val="000000" w:themeColor="text1"/>
          <w:szCs w:val="21"/>
          <w14:textFill>
            <w14:solidFill>
              <w14:schemeClr w14:val="tx1"/>
            </w14:solidFill>
          </w14:textFill>
        </w:rPr>
        <w:t>-5</w:t>
      </w:r>
      <w:r>
        <w:rPr>
          <w:rFonts w:hint="eastAsia" w:cs="宋体"/>
          <w:color w:val="000000" w:themeColor="text1"/>
          <w:szCs w:val="21"/>
          <w14:textFill>
            <w14:solidFill>
              <w14:schemeClr w14:val="tx1"/>
            </w14:solidFill>
          </w14:textFill>
        </w:rPr>
        <w:t>00</w:t>
      </w:r>
      <w:r>
        <w:rPr>
          <w:rFonts w:hint="eastAsia"/>
        </w:rPr>
        <w:t>0元（46.79%），其次为200</w:t>
      </w:r>
      <w:r>
        <w:t>1</w:t>
      </w:r>
      <w:r>
        <w:rPr>
          <w:rFonts w:hint="eastAsia"/>
        </w:rPr>
        <w:t>-3500元（28.55</w:t>
      </w:r>
      <w:r>
        <w:t>%）</w:t>
      </w:r>
      <w:r>
        <w:rPr>
          <w:rFonts w:hint="eastAsia"/>
        </w:rPr>
        <w:t>。</w:t>
      </w:r>
    </w:p>
    <w:p>
      <w:pPr>
        <w:pStyle w:val="132"/>
        <w:ind w:firstLine="0" w:firstLineChars="0"/>
        <w:jc w:val="center"/>
      </w:pPr>
      <w:r>
        <w:rPr>
          <w:rFonts w:hint="eastAsia"/>
          <w:color w:val="DEEBF7" w:themeColor="accent5" w:themeTint="33"/>
          <w14:textFill>
            <w14:solidFill>
              <w14:schemeClr w14:val="accent5">
                <w14:lumMod w14:val="20000"/>
                <w14:lumOff w14:val="80000"/>
              </w14:schemeClr>
            </w14:solidFill>
          </w14:textFill>
        </w:rPr>
        <mc:AlternateContent>
          <mc:Choice Requires="wps">
            <w:drawing>
              <wp:anchor distT="0" distB="0" distL="114300" distR="114300" simplePos="0" relativeHeight="251863040" behindDoc="0" locked="0" layoutInCell="1" allowOverlap="1">
                <wp:simplePos x="0" y="0"/>
                <wp:positionH relativeFrom="column">
                  <wp:posOffset>3320415</wp:posOffset>
                </wp:positionH>
                <wp:positionV relativeFrom="paragraph">
                  <wp:posOffset>194310</wp:posOffset>
                </wp:positionV>
                <wp:extent cx="1695450" cy="419100"/>
                <wp:effectExtent l="152400" t="0" r="19050" b="247650"/>
                <wp:wrapNone/>
                <wp:docPr id="29" name="圆角矩形标注 499"/>
                <wp:cNvGraphicFramePr/>
                <a:graphic xmlns:a="http://schemas.openxmlformats.org/drawingml/2006/main">
                  <a:graphicData uri="http://schemas.microsoft.com/office/word/2010/wordprocessingShape">
                    <wps:wsp>
                      <wps:cNvSpPr/>
                      <wps:spPr>
                        <a:xfrm>
                          <a:off x="0" y="0"/>
                          <a:ext cx="1695450" cy="419100"/>
                        </a:xfrm>
                        <a:prstGeom prst="wedgeRoundRectCallout">
                          <a:avLst>
                            <a:gd name="adj1" fmla="val -55864"/>
                            <a:gd name="adj2" fmla="val 97284"/>
                            <a:gd name="adj3" fmla="val 16667"/>
                          </a:avLst>
                        </a:prstGeom>
                        <a:solidFill>
                          <a:schemeClr val="bg1"/>
                        </a:solidFill>
                        <a:ln w="158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color w:val="000000" w:themeColor="text1"/>
                                <w14:textFill>
                                  <w14:solidFill>
                                    <w14:schemeClr w14:val="tx1"/>
                                  </w14:solidFill>
                                </w14:textFill>
                              </w:rPr>
                            </w:pPr>
                            <w:r>
                              <w:rPr>
                                <w:rFonts w:hint="eastAsia"/>
                                <w:color w:val="000000" w:themeColor="text1"/>
                                <w:sz w:val="21"/>
                                <w:szCs w:val="21"/>
                                <w14:textFill>
                                  <w14:solidFill>
                                    <w14:schemeClr w14:val="tx1"/>
                                  </w14:solidFill>
                                </w14:textFill>
                              </w:rPr>
                              <w:t>月均收入为</w:t>
                            </w:r>
                            <w:r>
                              <w:rPr>
                                <w:rFonts w:ascii="Times New Roman" w:hAnsi="Times New Roman"/>
                                <w:color w:val="000000" w:themeColor="text1"/>
                                <w:sz w:val="21"/>
                                <w:szCs w:val="21"/>
                                <w14:textFill>
                                  <w14:solidFill>
                                    <w14:schemeClr w14:val="tx1"/>
                                  </w14:solidFill>
                                </w14:textFill>
                              </w:rPr>
                              <w:t>4381.95</w:t>
                            </w:r>
                            <w:r>
                              <w:rPr>
                                <w:rFonts w:hint="eastAsia"/>
                                <w:color w:val="000000" w:themeColor="text1"/>
                                <w:sz w:val="21"/>
                                <w:szCs w:val="21"/>
                                <w14:textFill>
                                  <w14:solidFill>
                                    <w14:schemeClr w14:val="tx1"/>
                                  </w14:solidFill>
                                </w14:textFill>
                              </w:rPr>
                              <w:t>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圆角矩形标注 499" o:spid="_x0000_s1026" o:spt="62" type="#_x0000_t62" style="position:absolute;left:0pt;margin-left:261.45pt;margin-top:15.3pt;height:33pt;width:133.5pt;z-index:251863040;v-text-anchor:middle;mso-width-relative:page;mso-height-relative:page;" fillcolor="#FFFFFF [3212]" filled="t" stroked="t" coordsize="21600,21600" o:gfxdata="UEsDBAoAAAAAAIdO4kAAAAAAAAAAAAAAAAAEAAAAZHJzL1BLAwQUAAAACACHTuJAeyn3WtkAAAAJ&#10;AQAADwAAAGRycy9kb3ducmV2LnhtbE2Py07EMAxF90j8Q2QkdkwyRXTa0nTEQ0gsGBADQizTxrQV&#10;jVM16Tz+HrOCpe2je4/L9cENYodT6D1pWC4UCKTG255aDe9vDxcZiBANWTN4Qg1HDLCuTk9KU1i/&#10;p1fcbWMrOIRCYTR0MY6FlKHp0Jmw8CMS37785EzkcWqlncyew90gE6VS6UxP3NCZEe86bL63s+Pe&#10;eL/pbuunefbZx+r4/NI+Zp83Wp+fLdU1iIiH+AfDrz6rQ8VOtZ/JBjFouEqSnFENlyoFwcAqy3lR&#10;a8jTFGRVyv8fVD9QSwMEFAAAAAgAh07iQMDo8TCyAgAARwUAAA4AAABkcnMvZTJvRG9jLnhtbK1U&#10;S28TMRC+I/EfLN/bzS67eambKkoVhFTRqgVxdrzeB/IL28mm/AB654wE4gKcOfNzWvgZjL3bNoWe&#10;EDk4Mzvj8TffPA4Ot4KjDTO2UTLH8f4AIyapKhpZ5fjli+XeGCPriCwIV5Ll+IJZfDh7/Oig1VOW&#10;qFrxghkEQaSdtjrHtXN6GkWW1kwQu680k2AslRHEgWqqqDCkheiCR8lgMIxaZQptFGXWwtejzohn&#10;IX5ZMupOytIyh3iOAZsLpwnnyp/R7IBMK0N03dAeBvkHFII0Eh69DXVEHEFr0/wVSjTUKKtKt0+V&#10;iFRZNpSFHCCbePBHNuc10SzkAuRYfUuT/X9h6fPNqUFNkeNkgpEkAmp09eHdry/vf378dvXj8/Wn&#10;y+vvX1E6mXiqWm2ncONcn5pesyD6vLelEf4fMkLbQO/FLb1s6xCFj/FwkqUZVIGCLY0n8SDwH93d&#10;1sa6p0wJ5IUct6yo2Jlay+IMCrkgnKu1CzSTzbF1ge+iB02K1zFGpeBQvg3haC/LxsO0r++OU7Lr&#10;NBkl4wd8nuz6xMPhcOTjAM7+WZBukHoMVvGmWDacB8VUqwU3CDDkeBl+/eV7blyiFhjJxqMM+CDQ&#10;+SUnDkShoRZWVhgRXsFIUWdCxvdu291H0nSULEIWgOuemwd5RGzdgQmmjhDROJg63ogcjwf+10Pk&#10;EtL0Re7K6iW3XW37Wq9UcQHNYlQ3RVbTZQMvHBPrTokB3qG0sArcCRwlV5Cf6iWMamXePvTd+0M3&#10;gxWjFsYQcn+zJoZhxJ9J6PNJnKZ+boOSZqMEFLNrWe1a5FosFPAOnQDoguj9Hb8RS6PEK9gYc/8q&#10;mIik8HbHcq8sXLceYOdQNp8HN5hVTdyxPNfUB/d1lmq+dqpsnO8MT1THTq/AtIaG6TeLXwe7evC6&#10;23+z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Hsp91rZAAAACQEAAA8AAAAAAAAAAQAgAAAAIgAA&#10;AGRycy9kb3ducmV2LnhtbFBLAQIUABQAAAAIAIdO4kDA6PEwsgIAAEcFAAAOAAAAAAAAAAEAIAAA&#10;ACgBAABkcnMvZTJvRG9jLnhtbFBLBQYAAAAABgAGAFkBAABMBgAAAAA=&#10;" adj="-1267,31813,14400">
                <v:fill on="t" focussize="0,0"/>
                <v:stroke weight="1.25pt" color="#4472C4 [3204]" miterlimit="8" joinstyle="miter"/>
                <v:imagedata o:title=""/>
                <o:lock v:ext="edit" aspectratio="f"/>
                <v:textbox>
                  <w:txbxContent>
                    <w:p>
                      <w:pPr>
                        <w:rPr>
                          <w:color w:val="000000" w:themeColor="text1"/>
                          <w14:textFill>
                            <w14:solidFill>
                              <w14:schemeClr w14:val="tx1"/>
                            </w14:solidFill>
                          </w14:textFill>
                        </w:rPr>
                      </w:pPr>
                      <w:r>
                        <w:rPr>
                          <w:rFonts w:hint="eastAsia"/>
                          <w:color w:val="000000" w:themeColor="text1"/>
                          <w:sz w:val="21"/>
                          <w:szCs w:val="21"/>
                          <w14:textFill>
                            <w14:solidFill>
                              <w14:schemeClr w14:val="tx1"/>
                            </w14:solidFill>
                          </w14:textFill>
                        </w:rPr>
                        <w:t>月均收入为</w:t>
                      </w:r>
                      <w:r>
                        <w:rPr>
                          <w:rFonts w:ascii="Times New Roman" w:hAnsi="Times New Roman"/>
                          <w:color w:val="000000" w:themeColor="text1"/>
                          <w:sz w:val="21"/>
                          <w:szCs w:val="21"/>
                          <w14:textFill>
                            <w14:solidFill>
                              <w14:schemeClr w14:val="tx1"/>
                            </w14:solidFill>
                          </w14:textFill>
                        </w:rPr>
                        <w:t>4381.95</w:t>
                      </w:r>
                      <w:r>
                        <w:rPr>
                          <w:rFonts w:hint="eastAsia"/>
                          <w:color w:val="000000" w:themeColor="text1"/>
                          <w:sz w:val="21"/>
                          <w:szCs w:val="21"/>
                          <w14:textFill>
                            <w14:solidFill>
                              <w14:schemeClr w14:val="tx1"/>
                            </w14:solidFill>
                          </w14:textFill>
                        </w:rPr>
                        <w:t>元</w:t>
                      </w:r>
                    </w:p>
                  </w:txbxContent>
                </v:textbox>
              </v:shape>
            </w:pict>
          </mc:Fallback>
        </mc:AlternateContent>
      </w:r>
      <w:r>
        <w:rPr>
          <w:rFonts w:hint="eastAsia"/>
        </w:rPr>
        <mc:AlternateContent>
          <mc:Choice Requires="wps">
            <w:drawing>
              <wp:anchor distT="0" distB="0" distL="114300" distR="114300" simplePos="0" relativeHeight="251862016" behindDoc="0" locked="0" layoutInCell="1" allowOverlap="1">
                <wp:simplePos x="0" y="0"/>
                <wp:positionH relativeFrom="column">
                  <wp:posOffset>2617470</wp:posOffset>
                </wp:positionH>
                <wp:positionV relativeFrom="paragraph">
                  <wp:posOffset>193040</wp:posOffset>
                </wp:positionV>
                <wp:extent cx="26035" cy="2038350"/>
                <wp:effectExtent l="0" t="0" r="31750" b="19050"/>
                <wp:wrapNone/>
                <wp:docPr id="7" name="直接连接符 7"/>
                <wp:cNvGraphicFramePr/>
                <a:graphic xmlns:a="http://schemas.openxmlformats.org/drawingml/2006/main">
                  <a:graphicData uri="http://schemas.microsoft.com/office/word/2010/wordprocessingShape">
                    <wps:wsp>
                      <wps:cNvCnPr/>
                      <wps:spPr>
                        <a:xfrm flipH="1" flipV="1">
                          <a:off x="0" y="0"/>
                          <a:ext cx="26035" cy="2038350"/>
                        </a:xfrm>
                        <a:prstGeom prst="line">
                          <a:avLst/>
                        </a:prstGeom>
                        <a:ln w="19050">
                          <a:solidFill>
                            <a:schemeClr val="accent1"/>
                          </a:solidFill>
                          <a:prstDash val="dashDot"/>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_x0000_s1026" o:spid="_x0000_s1026" o:spt="20" style="position:absolute;left:0pt;flip:x y;margin-left:206.1pt;margin-top:15.2pt;height:160.5pt;width:2.05pt;z-index:251862016;mso-width-relative:page;mso-height-relative:page;" filled="f" stroked="t" coordsize="21600,21600" o:gfxdata="UEsDBAoAAAAAAIdO4kAAAAAAAAAAAAAAAAAEAAAAZHJzL1BLAwQUAAAACACHTuJABLH/HtoAAAAK&#10;AQAADwAAAGRycy9kb3ducmV2LnhtbE2PTU/DMAyG70j8h8hI3FiSrgxUmu6A4DKQ0DY+xC1rTFvR&#10;OFWTbYVfjznB0faj189bLiffiwOOsQtkQM8UCKQ6uI4aA8/b+4trEDFZcrYPhAa+MMKyOj0pbeHC&#10;kdZ42KRGcAjFwhpoUxoKKWPdordxFgYkvn2E0dvE49hIN9ojh/teZkotpLcd8YfWDnjbYv252XsD&#10;pJ7Wq7t3/J5Wb48vW6ev5Cs9GHN+ptUNiIRT+oPhV5/VoWKnXdiTi6I3kOssY9TAXOUgGMj1Yg5i&#10;x4tLnYOsSvm/QvUDUEsDBBQAAAAIAIdO4kCn8tPg4gEAAH4DAAAOAAAAZHJzL2Uyb0RvYy54bWyt&#10;U82O0zAQviPxDpbvNNm0uy1R0z20WjggqMTPferYiSX/yTZN+xK8ABI3OHHcO2/D7mPs2Cnl74bI&#10;YTSen29mvpksrw9akT33QVrT0ItJSQk3zLbSdA19++bmyYKSEMG0oKzhDT3yQK9Xjx8tB1fzyvZW&#10;tdwTBDGhHlxD+xhdXRSB9VxDmFjHDTqF9RoiPn1XtB4GRNeqqMryqhisb523jIeA1s3opKuMLwRn&#10;8ZUQgUeiGoq9xSx9lrski9US6s6D6yU7tQH/0IUGabDoGWoDEch7L/+C0pJ5G6yIE2Z1YYWQjOcZ&#10;cJqL8o9pXvfgeJ4FyQnuTFP4f7Ds5X7riWwbOqfEgMYV3X28/f7h8/23Tyjvvn4h80TS4EKNsWuz&#10;9adXcFufJj4Ir4lQ0j3H/dOsvUta8uF85JDJPp7J5odIGBqrq3J6SQlDT1VOF9PLvIxiBEzJzof4&#10;jFtNktJQJU3iAmrYvwgRm8DQHyHJbOyNVCrvUxkyYAtPS8QkDPCshIKIqnY4aDAdJaA6vFcWfYYM&#10;Vsk2pSeg4LvdWnmyB7yZ2WxerWeJASz3W1iqvYHQj3Etahsbx3vSMuJRK6kbuijTd8pXBmESkyN3&#10;SdvZ9pgpzXZcci50Osh0Rb++c/bP32b1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ASx/x7aAAAA&#10;CgEAAA8AAAAAAAAAAQAgAAAAIgAAAGRycy9kb3ducmV2LnhtbFBLAQIUABQAAAAIAIdO4kCn8tPg&#10;4gEAAH4DAAAOAAAAAAAAAAEAIAAAACkBAABkcnMvZTJvRG9jLnhtbFBLBQYAAAAABgAGAFkBAAB9&#10;BQAAAAA=&#10;">
                <v:fill on="f" focussize="0,0"/>
                <v:stroke weight="1.5pt" color="#4472C4 [3204]" miterlimit="8" joinstyle="miter" dashstyle="dashDot"/>
                <v:imagedata o:title=""/>
                <o:lock v:ext="edit" aspectratio="f"/>
              </v:line>
            </w:pict>
          </mc:Fallback>
        </mc:AlternateContent>
      </w:r>
      <w:r>
        <w:rPr>
          <w:rFonts w:hint="eastAsia"/>
        </w:rPr>
        <w:drawing>
          <wp:inline distT="0" distB="0" distL="0" distR="0">
            <wp:extent cx="5724525" cy="2724150"/>
            <wp:effectExtent l="0" t="0" r="0" b="0"/>
            <wp:docPr id="72" name="图表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pStyle w:val="203"/>
        <w:spacing w:before="0" w:beforeLines="0" w:after="0" w:afterLines="0"/>
      </w:pPr>
      <w:bookmarkStart w:id="145" w:name="_Toc27002305"/>
      <w:r>
        <w:rPr>
          <w:rFonts w:hint="eastAsia"/>
        </w:rPr>
        <w:t>图</w:t>
      </w:r>
      <w:r>
        <w:t xml:space="preserve">3- </w:t>
      </w:r>
      <w:r>
        <w:fldChar w:fldCharType="begin"/>
      </w:r>
      <w:r>
        <w:instrText xml:space="preserve"> SEQ </w:instrText>
      </w:r>
      <w:r>
        <w:rPr>
          <w:rFonts w:hint="eastAsia"/>
        </w:rPr>
        <w:instrText xml:space="preserve">图</w:instrText>
      </w:r>
      <w:r>
        <w:instrText xml:space="preserve">3- \* ARABIC </w:instrText>
      </w:r>
      <w:r>
        <w:fldChar w:fldCharType="separate"/>
      </w:r>
      <w:r>
        <w:t>1</w:t>
      </w:r>
      <w:r>
        <w:fldChar w:fldCharType="end"/>
      </w:r>
      <w:r>
        <w:t xml:space="preserve">  2019届</w:t>
      </w:r>
      <w:r>
        <w:rPr>
          <w:rFonts w:hint="eastAsia"/>
        </w:rPr>
        <w:t>毕业生薪酬区间分布</w:t>
      </w:r>
      <w:bookmarkEnd w:id="145"/>
    </w:p>
    <w:p>
      <w:pPr>
        <w:pStyle w:val="132"/>
        <w:ind w:firstLine="360"/>
      </w:pPr>
      <w:r>
        <w:rPr>
          <w:rFonts w:hint="eastAsia"/>
        </w:rPr>
        <w:t>注</w:t>
      </w:r>
      <w:r>
        <w:t>：</w:t>
      </w:r>
      <w:r>
        <w:rPr>
          <w:rFonts w:hint="eastAsia"/>
        </w:rPr>
        <w:t>薪酬包括能折算为现金的工资、福利等。</w:t>
      </w:r>
    </w:p>
    <w:p>
      <w:pPr>
        <w:pStyle w:val="132"/>
        <w:spacing w:after="156" w:afterLines="50"/>
        <w:ind w:firstLine="360"/>
      </w:pPr>
      <w:r>
        <w:t>数据来源</w:t>
      </w:r>
      <w:r>
        <w:rPr>
          <w:rFonts w:hint="eastAsia"/>
        </w:rPr>
        <w:t>：第三方机构新锦成-</w:t>
      </w:r>
      <w:r>
        <w:rPr>
          <w:rFonts w:hint="eastAsia" w:eastAsia="宋体"/>
        </w:rPr>
        <w:t>2019届</w:t>
      </w:r>
      <w:r>
        <w:t>毕业生就业与培养质量调查。</w:t>
      </w:r>
    </w:p>
    <w:p>
      <w:pPr>
        <w:pStyle w:val="199"/>
        <w:spacing w:before="156" w:beforeLines="50" w:after="156" w:afterLines="50"/>
        <w:ind w:firstLine="482"/>
        <w:rPr>
          <w:bCs/>
        </w:rPr>
      </w:pPr>
      <w:r>
        <w:rPr>
          <w:rFonts w:hint="eastAsia"/>
          <w:b/>
          <w:color w:val="4472C4" w:themeColor="accent1"/>
          <w14:textFill>
            <w14:solidFill>
              <w14:schemeClr w14:val="accent1"/>
            </w14:solidFill>
          </w14:textFill>
        </w:rPr>
        <w:t>主要就业地区的薪酬水平：</w:t>
      </w:r>
      <w:r>
        <w:rPr>
          <w:rFonts w:hint="eastAsia"/>
        </w:rPr>
        <w:t>在上海市就业的毕业生当前月均收入水平相对较高，为5769.10元；而在安徽省就业的毕业生当前月均收入水平相对较低，为</w:t>
      </w:r>
      <w:r>
        <w:t>3</w:t>
      </w:r>
      <w:r>
        <w:rPr>
          <w:rFonts w:hint="eastAsia"/>
        </w:rPr>
        <w:t>983.77元。</w:t>
      </w:r>
    </w:p>
    <w:p>
      <w:pPr>
        <w:pStyle w:val="132"/>
        <w:ind w:firstLine="0" w:firstLineChars="0"/>
        <w:jc w:val="center"/>
      </w:pPr>
      <w:r>
        <w:drawing>
          <wp:inline distT="0" distB="0" distL="0" distR="0">
            <wp:extent cx="5399405" cy="1079500"/>
            <wp:effectExtent l="0" t="0" r="0" b="6350"/>
            <wp:docPr id="78" name="图表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203"/>
        <w:spacing w:before="0" w:beforeLines="0" w:after="0" w:afterLines="0"/>
      </w:pPr>
      <w:bookmarkStart w:id="146" w:name="_Toc27002306"/>
      <w:r>
        <w:rPr>
          <w:rFonts w:hint="eastAsia"/>
        </w:rPr>
        <w:t xml:space="preserve">图3- </w:t>
      </w:r>
      <w:r>
        <w:fldChar w:fldCharType="begin"/>
      </w:r>
      <w:r>
        <w:instrText xml:space="preserve"> </w:instrText>
      </w:r>
      <w:r>
        <w:rPr>
          <w:rFonts w:hint="eastAsia"/>
        </w:rPr>
        <w:instrText xml:space="preserve">SEQ 图3- \* ARABIC</w:instrText>
      </w:r>
      <w:r>
        <w:instrText xml:space="preserve"> </w:instrText>
      </w:r>
      <w:r>
        <w:fldChar w:fldCharType="separate"/>
      </w:r>
      <w:r>
        <w:t>2</w:t>
      </w:r>
      <w:r>
        <w:fldChar w:fldCharType="end"/>
      </w:r>
      <w:r>
        <w:t xml:space="preserve">  2019届</w:t>
      </w:r>
      <w:r>
        <w:rPr>
          <w:rFonts w:hint="eastAsia"/>
        </w:rPr>
        <w:t>毕业生主要</w:t>
      </w:r>
      <w:r>
        <w:t>就业</w:t>
      </w:r>
      <w:r>
        <w:rPr>
          <w:rFonts w:hint="eastAsia"/>
        </w:rPr>
        <w:t>地区月均收入水平</w:t>
      </w:r>
      <w:bookmarkEnd w:id="146"/>
    </w:p>
    <w:p>
      <w:pPr>
        <w:pStyle w:val="132"/>
        <w:ind w:firstLine="360"/>
      </w:pPr>
      <w:r>
        <w:rPr>
          <w:rFonts w:hint="eastAsia"/>
        </w:rPr>
        <w:t>注：</w:t>
      </w:r>
      <w:r>
        <w:t>主要就业</w:t>
      </w:r>
      <w:r>
        <w:rPr>
          <w:rFonts w:hint="eastAsia"/>
        </w:rPr>
        <w:t>地区指样本人数≥</w:t>
      </w:r>
      <w:r>
        <w:rPr>
          <w:rFonts w:hint="eastAsia" w:eastAsia="宋体"/>
        </w:rPr>
        <w:t>20</w:t>
      </w:r>
      <w:r>
        <w:rPr>
          <w:rFonts w:hint="eastAsia"/>
        </w:rPr>
        <w:t>人的</w:t>
      </w:r>
      <w:r>
        <w:t>就业</w:t>
      </w:r>
      <w:r>
        <w:rPr>
          <w:rFonts w:hint="eastAsia"/>
        </w:rPr>
        <w:t>地区</w:t>
      </w:r>
      <w:r>
        <w:t>。</w:t>
      </w:r>
    </w:p>
    <w:p>
      <w:pPr>
        <w:pStyle w:val="132"/>
        <w:ind w:firstLine="360"/>
        <w:jc w:val="both"/>
      </w:pPr>
      <w:r>
        <w:rPr>
          <w:rFonts w:hint="eastAsia"/>
        </w:rPr>
        <w:t>数据来源：第三方机构新锦成</w:t>
      </w:r>
      <w:r>
        <w:t>-2019届</w:t>
      </w:r>
      <w:r>
        <w:rPr>
          <w:rFonts w:hint="eastAsia"/>
        </w:rPr>
        <w:t>毕业生就业与培养质量调查。</w:t>
      </w:r>
    </w:p>
    <w:p>
      <w:pPr>
        <w:pStyle w:val="73"/>
        <w:spacing w:before="156" w:after="156"/>
        <w:ind w:firstLine="480" w:firstLineChars="200"/>
        <w:jc w:val="both"/>
        <w:outlineLvl w:val="9"/>
        <w:rPr>
          <w:rFonts w:ascii="Times New Roman" w:hAnsi="Times New Roman" w:eastAsia="宋体" w:cstheme="minorBidi"/>
          <w:b w:val="0"/>
          <w:bCs w:val="0"/>
          <w:sz w:val="24"/>
          <w:szCs w:val="24"/>
          <w:lang w:val="en-US"/>
        </w:rPr>
      </w:pPr>
      <w:bookmarkStart w:id="147" w:name="_Hlk19115342"/>
      <w:bookmarkStart w:id="148" w:name="_Hlk19115516"/>
      <w:r>
        <w:rPr>
          <w:rFonts w:hint="eastAsia" w:ascii="Times New Roman" w:hAnsi="Times New Roman" w:eastAsia="宋体" w:cstheme="minorBidi"/>
          <w:bCs w:val="0"/>
          <w:color w:val="4472C4" w:themeColor="accent1"/>
          <w:sz w:val="24"/>
          <w:szCs w:val="24"/>
          <w:lang w:val="en-US"/>
          <w14:textFill>
            <w14:solidFill>
              <w14:schemeClr w14:val="accent1"/>
            </w14:solidFill>
          </w14:textFill>
        </w:rPr>
        <w:t>主要就业单位的薪酬水平：</w:t>
      </w:r>
      <w:r>
        <w:rPr>
          <w:rFonts w:hint="eastAsia" w:ascii="Times New Roman" w:hAnsi="Times New Roman" w:eastAsia="宋体" w:cstheme="minorBidi"/>
          <w:b w:val="0"/>
          <w:bCs w:val="0"/>
          <w:sz w:val="24"/>
          <w:szCs w:val="24"/>
          <w:lang w:val="en-US"/>
        </w:rPr>
        <w:t>在“科研设计单位”就业</w:t>
      </w:r>
      <w:r>
        <w:rPr>
          <w:rFonts w:ascii="Times New Roman" w:hAnsi="Times New Roman" w:eastAsia="宋体" w:cstheme="minorBidi"/>
          <w:b w:val="0"/>
          <w:bCs w:val="0"/>
          <w:sz w:val="24"/>
          <w:szCs w:val="24"/>
          <w:lang w:val="en-US"/>
        </w:rPr>
        <w:t>的</w:t>
      </w:r>
      <w:r>
        <w:rPr>
          <w:rFonts w:hint="eastAsia" w:ascii="Times New Roman" w:hAnsi="Times New Roman" w:eastAsia="宋体" w:cstheme="minorBidi"/>
          <w:b w:val="0"/>
          <w:bCs w:val="0"/>
          <w:sz w:val="24"/>
          <w:szCs w:val="24"/>
          <w:lang w:val="en-US"/>
        </w:rPr>
        <w:t>毕业生</w:t>
      </w:r>
      <w:r>
        <w:rPr>
          <w:rFonts w:ascii="Times New Roman" w:hAnsi="Times New Roman" w:eastAsia="宋体" w:cstheme="minorBidi"/>
          <w:b w:val="0"/>
          <w:bCs w:val="0"/>
          <w:sz w:val="24"/>
          <w:szCs w:val="24"/>
          <w:lang w:val="en-US"/>
        </w:rPr>
        <w:t>薪酬</w:t>
      </w:r>
      <w:r>
        <w:rPr>
          <w:rFonts w:hint="eastAsia" w:ascii="Times New Roman" w:hAnsi="Times New Roman" w:eastAsia="宋体" w:cstheme="minorBidi"/>
          <w:b w:val="0"/>
          <w:bCs w:val="0"/>
          <w:sz w:val="24"/>
          <w:szCs w:val="24"/>
          <w:lang w:val="en-US"/>
        </w:rPr>
        <w:t>优势</w:t>
      </w:r>
      <w:r>
        <w:rPr>
          <w:rFonts w:ascii="Times New Roman" w:hAnsi="Times New Roman" w:eastAsia="宋体" w:cstheme="minorBidi"/>
          <w:b w:val="0"/>
          <w:bCs w:val="0"/>
          <w:sz w:val="24"/>
          <w:szCs w:val="24"/>
          <w:lang w:val="en-US"/>
        </w:rPr>
        <w:t>较高，</w:t>
      </w:r>
      <w:r>
        <w:rPr>
          <w:rFonts w:hint="eastAsia" w:ascii="Times New Roman" w:hAnsi="Times New Roman" w:eastAsia="宋体" w:cstheme="minorBidi"/>
          <w:b w:val="0"/>
          <w:bCs w:val="0"/>
          <w:sz w:val="24"/>
          <w:szCs w:val="24"/>
          <w:lang w:val="en-US"/>
        </w:rPr>
        <w:t>月均收入为</w:t>
      </w:r>
      <w:r>
        <w:rPr>
          <w:rFonts w:ascii="Times New Roman" w:hAnsi="Times New Roman" w:eastAsia="宋体" w:cstheme="minorBidi"/>
          <w:b w:val="0"/>
          <w:bCs w:val="0"/>
          <w:sz w:val="24"/>
          <w:szCs w:val="24"/>
          <w:lang w:val="en-US"/>
        </w:rPr>
        <w:t>4</w:t>
      </w:r>
      <w:r>
        <w:rPr>
          <w:rFonts w:hint="eastAsia" w:ascii="Times New Roman" w:hAnsi="Times New Roman" w:eastAsia="宋体" w:cstheme="minorBidi"/>
          <w:b w:val="0"/>
          <w:bCs w:val="0"/>
          <w:sz w:val="24"/>
          <w:szCs w:val="24"/>
          <w:lang w:val="en-US"/>
        </w:rPr>
        <w:t>915.58元；而</w:t>
      </w:r>
      <w:r>
        <w:rPr>
          <w:rFonts w:hint="eastAsia" w:asciiTheme="minorEastAsia" w:hAnsiTheme="minorEastAsia" w:eastAsiaTheme="minorEastAsia" w:cstheme="minorBidi"/>
          <w:b w:val="0"/>
          <w:bCs w:val="0"/>
          <w:sz w:val="24"/>
          <w:szCs w:val="24"/>
          <w:lang w:val="en-US"/>
        </w:rPr>
        <w:t>在</w:t>
      </w:r>
      <w:r>
        <w:rPr>
          <w:rFonts w:asciiTheme="minorEastAsia" w:hAnsiTheme="minorEastAsia" w:eastAsiaTheme="minorEastAsia" w:cstheme="minorBidi"/>
          <w:b w:val="0"/>
          <w:bCs w:val="0"/>
          <w:sz w:val="24"/>
          <w:szCs w:val="24"/>
          <w:lang w:val="en-US"/>
        </w:rPr>
        <w:t>“</w:t>
      </w:r>
      <w:r>
        <w:rPr>
          <w:rFonts w:hint="eastAsia" w:asciiTheme="minorEastAsia" w:hAnsiTheme="minorEastAsia" w:eastAsiaTheme="minorEastAsia" w:cstheme="minorBidi"/>
          <w:b w:val="0"/>
          <w:bCs w:val="0"/>
          <w:sz w:val="24"/>
          <w:szCs w:val="24"/>
          <w:lang w:val="en-US"/>
        </w:rPr>
        <w:t>中初教育单位</w:t>
      </w:r>
      <w:r>
        <w:rPr>
          <w:rFonts w:asciiTheme="minorEastAsia" w:hAnsiTheme="minorEastAsia" w:eastAsiaTheme="minorEastAsia" w:cstheme="minorBidi"/>
          <w:b w:val="0"/>
          <w:bCs w:val="0"/>
          <w:sz w:val="24"/>
          <w:szCs w:val="24"/>
          <w:lang w:val="en-US"/>
        </w:rPr>
        <w:t>”</w:t>
      </w:r>
      <w:r>
        <w:rPr>
          <w:rFonts w:hint="eastAsia" w:ascii="Times New Roman" w:hAnsi="Times New Roman" w:eastAsia="宋体" w:cstheme="minorBidi"/>
          <w:b w:val="0"/>
          <w:bCs w:val="0"/>
          <w:sz w:val="24"/>
          <w:szCs w:val="24"/>
          <w:lang w:val="en-US"/>
        </w:rPr>
        <w:t>就业</w:t>
      </w:r>
      <w:r>
        <w:rPr>
          <w:rFonts w:ascii="Times New Roman" w:hAnsi="Times New Roman" w:eastAsia="宋体" w:cstheme="minorBidi"/>
          <w:b w:val="0"/>
          <w:bCs w:val="0"/>
          <w:sz w:val="24"/>
          <w:szCs w:val="24"/>
          <w:lang w:val="en-US"/>
        </w:rPr>
        <w:t>的</w:t>
      </w:r>
      <w:r>
        <w:rPr>
          <w:rFonts w:hint="eastAsia" w:ascii="Times New Roman" w:hAnsi="Times New Roman" w:eastAsia="宋体" w:cstheme="minorBidi"/>
          <w:b w:val="0"/>
          <w:bCs w:val="0"/>
          <w:sz w:val="24"/>
          <w:szCs w:val="24"/>
          <w:lang w:val="en-US"/>
        </w:rPr>
        <w:t>毕业生薪酬优势</w:t>
      </w:r>
      <w:r>
        <w:rPr>
          <w:rFonts w:ascii="Times New Roman" w:hAnsi="Times New Roman" w:eastAsia="宋体" w:cstheme="minorBidi"/>
          <w:b w:val="0"/>
          <w:bCs w:val="0"/>
          <w:sz w:val="24"/>
          <w:szCs w:val="24"/>
          <w:lang w:val="en-US"/>
        </w:rPr>
        <w:t>相对较低，38</w:t>
      </w:r>
      <w:r>
        <w:rPr>
          <w:rFonts w:hint="eastAsia" w:ascii="Times New Roman" w:hAnsi="Times New Roman" w:eastAsia="宋体" w:cstheme="minorBidi"/>
          <w:b w:val="0"/>
          <w:bCs w:val="0"/>
          <w:sz w:val="24"/>
          <w:szCs w:val="24"/>
          <w:lang w:val="en-US"/>
        </w:rPr>
        <w:t>52.45元</w:t>
      </w:r>
      <w:r>
        <w:rPr>
          <w:rFonts w:ascii="Times New Roman" w:hAnsi="Times New Roman" w:eastAsia="宋体" w:cstheme="minorBidi"/>
          <w:b w:val="0"/>
          <w:bCs w:val="0"/>
          <w:sz w:val="24"/>
          <w:szCs w:val="24"/>
          <w:lang w:val="en-US"/>
        </w:rPr>
        <w:t>。</w:t>
      </w:r>
    </w:p>
    <w:bookmarkEnd w:id="147"/>
    <w:p>
      <w:pPr>
        <w:pStyle w:val="132"/>
        <w:ind w:firstLine="0" w:firstLineChars="0"/>
        <w:jc w:val="center"/>
      </w:pPr>
      <w:r>
        <w:drawing>
          <wp:inline distT="0" distB="0" distL="0" distR="0">
            <wp:extent cx="5399405" cy="2159635"/>
            <wp:effectExtent l="0" t="0" r="0" b="0"/>
            <wp:docPr id="79" name="图表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pStyle w:val="203"/>
        <w:spacing w:before="0" w:beforeLines="0" w:after="0" w:afterLines="0"/>
      </w:pPr>
      <w:bookmarkStart w:id="149" w:name="_Toc525725817"/>
      <w:bookmarkStart w:id="150" w:name="_Toc27002307"/>
      <w:r>
        <w:rPr>
          <w:rFonts w:hint="eastAsia"/>
        </w:rPr>
        <w:t xml:space="preserve">图3- </w:t>
      </w:r>
      <w:r>
        <w:fldChar w:fldCharType="begin"/>
      </w:r>
      <w:r>
        <w:instrText xml:space="preserve"> </w:instrText>
      </w:r>
      <w:r>
        <w:rPr>
          <w:rFonts w:hint="eastAsia"/>
        </w:rPr>
        <w:instrText xml:space="preserve">SEQ 图3- \* ARABIC</w:instrText>
      </w:r>
      <w:r>
        <w:instrText xml:space="preserve"> </w:instrText>
      </w:r>
      <w:r>
        <w:fldChar w:fldCharType="separate"/>
      </w:r>
      <w:r>
        <w:t>3</w:t>
      </w:r>
      <w:r>
        <w:fldChar w:fldCharType="end"/>
      </w:r>
      <w:r>
        <w:t xml:space="preserve">  2019届</w:t>
      </w:r>
      <w:r>
        <w:rPr>
          <w:rFonts w:hint="eastAsia"/>
        </w:rPr>
        <w:t>毕业生主要</w:t>
      </w:r>
      <w:r>
        <w:t>就业</w:t>
      </w:r>
      <w:r>
        <w:rPr>
          <w:rFonts w:hint="eastAsia"/>
        </w:rPr>
        <w:t>单位月均</w:t>
      </w:r>
      <w:r>
        <w:t>收入水平</w:t>
      </w:r>
      <w:r>
        <w:rPr>
          <w:rFonts w:hint="eastAsia"/>
        </w:rPr>
        <w:t>（单位</w:t>
      </w:r>
      <w:r>
        <w:t>：</w:t>
      </w:r>
      <w:r>
        <w:rPr>
          <w:rFonts w:hint="eastAsia"/>
        </w:rPr>
        <w:t>元</w:t>
      </w:r>
      <w:r>
        <w:t>）</w:t>
      </w:r>
      <w:bookmarkEnd w:id="149"/>
      <w:bookmarkEnd w:id="150"/>
    </w:p>
    <w:p>
      <w:pPr>
        <w:pStyle w:val="132"/>
        <w:ind w:firstLine="360"/>
        <w:jc w:val="both"/>
      </w:pPr>
      <w:r>
        <w:rPr>
          <w:rFonts w:hint="eastAsia"/>
        </w:rPr>
        <w:t>注：1</w:t>
      </w:r>
      <w:r>
        <w:t>.主要</w:t>
      </w:r>
      <w:r>
        <w:rPr>
          <w:rFonts w:hint="eastAsia"/>
        </w:rPr>
        <w:t>就业</w:t>
      </w:r>
      <w:r>
        <w:t>单位</w:t>
      </w:r>
      <w:r>
        <w:rPr>
          <w:rFonts w:hint="eastAsia"/>
        </w:rPr>
        <w:t>是指样本人数≥</w:t>
      </w:r>
      <w:r>
        <w:t>20</w:t>
      </w:r>
      <w:r>
        <w:rPr>
          <w:rFonts w:hint="eastAsia"/>
        </w:rPr>
        <w:t>人的</w:t>
      </w:r>
      <w:r>
        <w:t>就业</w:t>
      </w:r>
      <w:r>
        <w:rPr>
          <w:rFonts w:hint="eastAsia"/>
        </w:rPr>
        <w:t>单位；</w:t>
      </w:r>
    </w:p>
    <w:p>
      <w:pPr>
        <w:pStyle w:val="132"/>
        <w:ind w:firstLine="360"/>
        <w:jc w:val="both"/>
      </w:pPr>
      <w:r>
        <w:rPr>
          <w:rFonts w:hint="eastAsia"/>
        </w:rPr>
        <w:t xml:space="preserve"> </w:t>
      </w:r>
      <w:r>
        <w:t xml:space="preserve">   2.</w:t>
      </w:r>
      <w:r>
        <w:rPr>
          <w:rFonts w:hint="eastAsia"/>
        </w:rPr>
        <w:t>民营企业/个体包括民营企业和其他企业。其他企业指除国有企业和三资企业之外的所有企业。</w:t>
      </w:r>
    </w:p>
    <w:p>
      <w:pPr>
        <w:pStyle w:val="132"/>
        <w:ind w:firstLine="360"/>
        <w:jc w:val="both"/>
      </w:pPr>
      <w:r>
        <w:rPr>
          <w:rFonts w:hint="eastAsia"/>
        </w:rPr>
        <w:t>数据来源：第三方机构新锦成</w:t>
      </w:r>
      <w:r>
        <w:t>-2019届</w:t>
      </w:r>
      <w:r>
        <w:rPr>
          <w:rFonts w:hint="eastAsia"/>
        </w:rPr>
        <w:t>毕业生就业与培养质量调查。</w:t>
      </w:r>
      <w:bookmarkEnd w:id="148"/>
    </w:p>
    <w:p>
      <w:pPr>
        <w:pStyle w:val="199"/>
        <w:spacing w:before="156" w:beforeLines="50" w:after="156" w:afterLines="50"/>
        <w:ind w:firstLine="482"/>
      </w:pPr>
      <w:r>
        <w:rPr>
          <w:rFonts w:hint="eastAsia"/>
          <w:b/>
          <w:color w:val="4472C4" w:themeColor="accent1"/>
          <w14:textFill>
            <w14:solidFill>
              <w14:schemeClr w14:val="accent1"/>
            </w14:solidFill>
          </w14:textFill>
        </w:rPr>
        <w:t>主要就业</w:t>
      </w:r>
      <w:r>
        <w:rPr>
          <w:b/>
          <w:color w:val="4472C4" w:themeColor="accent1"/>
          <w14:textFill>
            <w14:solidFill>
              <w14:schemeClr w14:val="accent1"/>
            </w14:solidFill>
          </w14:textFill>
        </w:rPr>
        <w:t>行业</w:t>
      </w:r>
      <w:r>
        <w:rPr>
          <w:rFonts w:hint="eastAsia"/>
          <w:b/>
          <w:color w:val="4472C4" w:themeColor="accent1"/>
          <w14:textFill>
            <w14:solidFill>
              <w14:schemeClr w14:val="accent1"/>
            </w14:solidFill>
          </w14:textFill>
        </w:rPr>
        <w:t>的薪酬水平</w:t>
      </w:r>
      <w:r>
        <w:rPr>
          <w:b/>
          <w:color w:val="4472C4" w:themeColor="accent1"/>
          <w14:textFill>
            <w14:solidFill>
              <w14:schemeClr w14:val="accent1"/>
            </w14:solidFill>
          </w14:textFill>
        </w:rPr>
        <w:t>：</w:t>
      </w:r>
      <w:r>
        <w:rPr>
          <w:rFonts w:hint="eastAsia"/>
          <w:color w:val="auto"/>
        </w:rPr>
        <w:t>选择</w:t>
      </w:r>
      <w:r>
        <w:rPr>
          <w:rFonts w:hint="eastAsia"/>
        </w:rPr>
        <w:t>在“房地产业”就业</w:t>
      </w:r>
      <w:r>
        <w:t>的</w:t>
      </w:r>
      <w:r>
        <w:rPr>
          <w:rFonts w:hint="eastAsia"/>
        </w:rPr>
        <w:t>毕业生</w:t>
      </w:r>
      <w:r>
        <w:t>薪酬</w:t>
      </w:r>
      <w:r>
        <w:rPr>
          <w:rFonts w:hint="eastAsia"/>
        </w:rPr>
        <w:t>优势</w:t>
      </w:r>
      <w:r>
        <w:t>较高，</w:t>
      </w:r>
      <w:r>
        <w:rPr>
          <w:rFonts w:hint="eastAsia"/>
        </w:rPr>
        <w:t>月均收入均处于4769.23元；而选择在</w:t>
      </w:r>
      <w:r>
        <w:rPr>
          <w:rFonts w:asciiTheme="minorEastAsia" w:hAnsiTheme="minorEastAsia" w:eastAsiaTheme="minorEastAsia"/>
        </w:rPr>
        <w:t>“</w:t>
      </w:r>
      <w:r>
        <w:rPr>
          <w:rFonts w:hint="eastAsia" w:asciiTheme="minorEastAsia" w:hAnsiTheme="minorEastAsia" w:eastAsiaTheme="minorEastAsia"/>
        </w:rPr>
        <w:t>商务服务业</w:t>
      </w:r>
      <w:r>
        <w:rPr>
          <w:rFonts w:asciiTheme="minorEastAsia" w:hAnsiTheme="minorEastAsia" w:eastAsiaTheme="minorEastAsia"/>
        </w:rPr>
        <w:t>”</w:t>
      </w:r>
      <w:r>
        <w:rPr>
          <w:rFonts w:hint="eastAsia"/>
        </w:rPr>
        <w:t>就业</w:t>
      </w:r>
      <w:r>
        <w:t>的</w:t>
      </w:r>
      <w:r>
        <w:rPr>
          <w:rFonts w:hint="eastAsia"/>
        </w:rPr>
        <w:t>毕业生</w:t>
      </w:r>
      <w:r>
        <w:t>月均收入水平相对较低，为</w:t>
      </w:r>
      <w:r>
        <w:rPr>
          <w:rFonts w:hint="eastAsia"/>
        </w:rPr>
        <w:t>3703.41元</w:t>
      </w:r>
      <w:r>
        <w:t>。</w:t>
      </w:r>
    </w:p>
    <w:p>
      <w:pPr>
        <w:pStyle w:val="132"/>
        <w:ind w:firstLine="0" w:firstLineChars="0"/>
        <w:jc w:val="center"/>
      </w:pPr>
      <w:r>
        <w:drawing>
          <wp:inline distT="0" distB="0" distL="0" distR="0">
            <wp:extent cx="5399405" cy="4679950"/>
            <wp:effectExtent l="0" t="0" r="0" b="6350"/>
            <wp:docPr id="929"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pStyle w:val="203"/>
        <w:spacing w:before="0" w:beforeLines="0" w:after="0" w:afterLines="0"/>
      </w:pPr>
      <w:bookmarkStart w:id="151" w:name="_Toc27002308"/>
      <w:r>
        <w:rPr>
          <w:rFonts w:hint="eastAsia"/>
        </w:rPr>
        <w:t xml:space="preserve">图3- </w:t>
      </w:r>
      <w:r>
        <w:fldChar w:fldCharType="begin"/>
      </w:r>
      <w:r>
        <w:instrText xml:space="preserve"> </w:instrText>
      </w:r>
      <w:r>
        <w:rPr>
          <w:rFonts w:hint="eastAsia"/>
        </w:rPr>
        <w:instrText xml:space="preserve">SEQ 图3- \* ARABIC</w:instrText>
      </w:r>
      <w:r>
        <w:instrText xml:space="preserve"> </w:instrText>
      </w:r>
      <w:r>
        <w:fldChar w:fldCharType="separate"/>
      </w:r>
      <w:r>
        <w:t>4</w:t>
      </w:r>
      <w:r>
        <w:fldChar w:fldCharType="end"/>
      </w:r>
      <w:r>
        <w:t xml:space="preserve">  2019届</w:t>
      </w:r>
      <w:r>
        <w:rPr>
          <w:rFonts w:hint="eastAsia"/>
        </w:rPr>
        <w:t>毕业生主要</w:t>
      </w:r>
      <w:r>
        <w:t>就业行业</w:t>
      </w:r>
      <w:r>
        <w:rPr>
          <w:rFonts w:hint="eastAsia"/>
        </w:rPr>
        <w:t>月均</w:t>
      </w:r>
      <w:r>
        <w:t>收入水平</w:t>
      </w:r>
      <w:r>
        <w:rPr>
          <w:rFonts w:hint="eastAsia"/>
        </w:rPr>
        <w:t>（单位</w:t>
      </w:r>
      <w:r>
        <w:t>：</w:t>
      </w:r>
      <w:r>
        <w:rPr>
          <w:rFonts w:hint="eastAsia"/>
        </w:rPr>
        <w:t>元</w:t>
      </w:r>
      <w:r>
        <w:t>）</w:t>
      </w:r>
      <w:bookmarkEnd w:id="151"/>
    </w:p>
    <w:p>
      <w:pPr>
        <w:pStyle w:val="132"/>
        <w:ind w:firstLine="360"/>
        <w:jc w:val="both"/>
      </w:pPr>
      <w:r>
        <w:rPr>
          <w:rFonts w:hint="eastAsia"/>
        </w:rPr>
        <w:t>注：</w:t>
      </w:r>
      <w:r>
        <w:t>主要就业行业</w:t>
      </w:r>
      <w:r>
        <w:rPr>
          <w:rFonts w:hint="eastAsia"/>
        </w:rPr>
        <w:t>指样本人数≥</w:t>
      </w:r>
      <w:r>
        <w:t>2</w:t>
      </w:r>
      <w:r>
        <w:rPr>
          <w:rFonts w:hint="eastAsia"/>
        </w:rPr>
        <w:t>0人的</w:t>
      </w:r>
      <w:r>
        <w:t>就业行业。</w:t>
      </w:r>
    </w:p>
    <w:p>
      <w:pPr>
        <w:pStyle w:val="132"/>
        <w:ind w:firstLine="360"/>
        <w:jc w:val="both"/>
      </w:pPr>
      <w:r>
        <w:rPr>
          <w:rFonts w:hint="eastAsia"/>
        </w:rPr>
        <w:t>数据来源：第三方机构新锦成</w:t>
      </w:r>
      <w:r>
        <w:t>-2019届</w:t>
      </w:r>
      <w:r>
        <w:rPr>
          <w:rFonts w:hint="eastAsia"/>
        </w:rPr>
        <w:t>毕业生就业与培养质量调查。</w:t>
      </w:r>
    </w:p>
    <w:p>
      <w:pPr>
        <w:pStyle w:val="152"/>
        <w:spacing w:after="156" w:afterLines="50"/>
        <w:rPr>
          <w:color w:val="4472C4" w:themeColor="accent1"/>
          <w14:textFill>
            <w14:solidFill>
              <w14:schemeClr w14:val="accent1"/>
            </w14:solidFill>
          </w14:textFill>
        </w:rPr>
      </w:pPr>
      <w:bookmarkStart w:id="152" w:name="_Toc27601832"/>
      <w:r>
        <w:rPr>
          <w:rFonts w:hint="eastAsia"/>
          <w:color w:val="4472C4" w:themeColor="accent1"/>
          <w14:textFill>
            <w14:solidFill>
              <w14:schemeClr w14:val="accent1"/>
            </w14:solidFill>
          </w14:textFill>
        </w:rPr>
        <w:t>（二）专业相关度</w:t>
      </w:r>
      <w:bookmarkEnd w:id="152"/>
    </w:p>
    <w:p>
      <w:pPr>
        <w:spacing w:before="156" w:beforeLines="50" w:after="156" w:afterLines="50" w:line="360" w:lineRule="auto"/>
        <w:ind w:firstLine="480" w:firstLineChars="200"/>
        <w:jc w:val="both"/>
        <w:rPr>
          <w:rFonts w:ascii="宋体" w:hAnsi="宋体"/>
          <w:color w:val="000000"/>
          <w:sz w:val="24"/>
          <w:szCs w:val="24"/>
          <w:lang w:val="zh-CN"/>
        </w:rPr>
      </w:pPr>
      <w:r>
        <w:rPr>
          <w:rFonts w:hint="eastAsia" w:ascii="宋体" w:hAnsi="宋体"/>
          <w:b/>
          <w:color w:val="4472C4" w:themeColor="accent1"/>
          <w:sz w:val="24"/>
          <w:szCs w:val="24"/>
          <w:lang w:val="zh-CN"/>
          <w14:textFill>
            <w14:solidFill>
              <w14:schemeClr w14:val="accent1"/>
            </w14:solidFill>
          </w14:textFill>
        </w:rPr>
        <w:t>总体</w:t>
      </w:r>
      <w:r>
        <w:rPr>
          <w:rFonts w:ascii="宋体" w:hAnsi="宋体"/>
          <w:b/>
          <w:color w:val="4472C4" w:themeColor="accent1"/>
          <w:sz w:val="24"/>
          <w:szCs w:val="24"/>
          <w:lang w:val="zh-CN"/>
          <w14:textFill>
            <w14:solidFill>
              <w14:schemeClr w14:val="accent1"/>
            </w14:solidFill>
          </w14:textFill>
        </w:rPr>
        <w:t>专业相关</w:t>
      </w:r>
      <w:r>
        <w:rPr>
          <w:rFonts w:hint="eastAsia" w:ascii="宋体" w:hAnsi="宋体"/>
          <w:b/>
          <w:color w:val="4472C4" w:themeColor="accent1"/>
          <w:sz w:val="24"/>
          <w:szCs w:val="24"/>
          <w:lang w:val="zh-CN"/>
          <w14:textFill>
            <w14:solidFill>
              <w14:schemeClr w14:val="accent1"/>
            </w14:solidFill>
          </w14:textFill>
        </w:rPr>
        <w:t>度：</w:t>
      </w:r>
      <w:bookmarkStart w:id="153" w:name="_Hlk24272234"/>
      <w:r>
        <w:rPr>
          <w:rFonts w:ascii="Times New Roman" w:hAnsi="Times New Roman"/>
          <w:color w:val="000000"/>
          <w:sz w:val="24"/>
          <w:szCs w:val="24"/>
          <w:lang w:val="zh-CN"/>
        </w:rPr>
        <w:t>76.95%</w:t>
      </w:r>
      <w:bookmarkEnd w:id="153"/>
      <w:r>
        <w:rPr>
          <w:rFonts w:hint="eastAsia" w:ascii="宋体" w:hAnsi="宋体"/>
          <w:color w:val="000000"/>
          <w:sz w:val="24"/>
          <w:szCs w:val="24"/>
          <w:lang w:val="zh-CN"/>
        </w:rPr>
        <w:t>的毕业生认为目前就职岗位与所学专业相关，相关度均值为</w:t>
      </w:r>
      <w:r>
        <w:rPr>
          <w:rFonts w:hint="eastAsia" w:ascii="Times New Roman" w:hAnsi="Times New Roman"/>
          <w:color w:val="000000"/>
          <w:sz w:val="24"/>
          <w:szCs w:val="24"/>
        </w:rPr>
        <w:t>3</w:t>
      </w:r>
      <w:r>
        <w:rPr>
          <w:rFonts w:ascii="Times New Roman" w:hAnsi="Times New Roman"/>
          <w:color w:val="000000"/>
          <w:sz w:val="24"/>
          <w:szCs w:val="24"/>
        </w:rPr>
        <w:t>.34</w:t>
      </w:r>
      <w:r>
        <w:rPr>
          <w:rFonts w:hint="eastAsia" w:ascii="Times New Roman" w:hAnsi="Times New Roman"/>
          <w:color w:val="000000"/>
          <w:sz w:val="24"/>
          <w:szCs w:val="24"/>
        </w:rPr>
        <w:t>分</w:t>
      </w:r>
      <w:r>
        <w:rPr>
          <w:rFonts w:hint="eastAsia" w:ascii="宋体" w:hAnsi="宋体"/>
          <w:color w:val="000000"/>
          <w:sz w:val="24"/>
          <w:szCs w:val="24"/>
          <w:lang w:val="zh-CN"/>
        </w:rPr>
        <w:t>，偏向于“比较相关”水平；可见毕业生所学专业知识及技能与实际工作的契合度较高，能够学以致用。</w:t>
      </w:r>
    </w:p>
    <w:p>
      <w:pPr>
        <w:pStyle w:val="132"/>
        <w:ind w:firstLine="0" w:firstLineChars="0"/>
        <w:jc w:val="center"/>
      </w:pPr>
      <w:r>
        <w:drawing>
          <wp:inline distT="0" distB="0" distL="0" distR="0">
            <wp:extent cx="5399405" cy="1439545"/>
            <wp:effectExtent l="0" t="0" r="0" b="8255"/>
            <wp:docPr id="928"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pStyle w:val="181"/>
        <w:tabs>
          <w:tab w:val="left" w:pos="400"/>
          <w:tab w:val="center" w:pos="4394"/>
        </w:tabs>
        <w:spacing w:before="156" w:after="156" w:line="240" w:lineRule="auto"/>
        <w:rPr>
          <w:color w:val="5B9BD5"/>
          <w:highlight w:val="green"/>
        </w:rPr>
      </w:pPr>
      <w:r>
        <w:rPr>
          <w:rFonts w:hint="eastAsia"/>
        </w:rPr>
        <w:t>图</w:t>
      </w:r>
      <w:r>
        <w:rPr>
          <w:rFonts w:hint="eastAsia" w:eastAsia="宋体"/>
        </w:rPr>
        <w:t>3</w:t>
      </w:r>
      <w:r>
        <w:rPr>
          <w:rFonts w:hint="eastAsia"/>
        </w:rPr>
        <w:t xml:space="preserve">- </w:t>
      </w:r>
      <w:r>
        <w:fldChar w:fldCharType="begin"/>
      </w:r>
      <w:r>
        <w:instrText xml:space="preserve"> </w:instrText>
      </w:r>
      <w:r>
        <w:rPr>
          <w:rFonts w:hint="eastAsia"/>
        </w:rPr>
        <w:instrText xml:space="preserve">SEQ 图3- \* ARABIC</w:instrText>
      </w:r>
      <w:r>
        <w:instrText xml:space="preserve"> </w:instrText>
      </w:r>
      <w:r>
        <w:fldChar w:fldCharType="separate"/>
      </w:r>
      <w:r>
        <w:t>5</w:t>
      </w:r>
      <w:r>
        <w:fldChar w:fldCharType="end"/>
      </w:r>
      <w:r>
        <w:t xml:space="preserve">  </w:t>
      </w:r>
      <w:r>
        <w:rPr>
          <w:rFonts w:hint="eastAsia"/>
        </w:rPr>
        <w:t>2019届毕业生专业相关</w:t>
      </w:r>
      <w:r>
        <w:t>度</w:t>
      </w:r>
      <w:r>
        <w:rPr>
          <w:rFonts w:hint="eastAsia"/>
        </w:rPr>
        <w:t>分布</w:t>
      </w:r>
    </w:p>
    <w:p>
      <w:pPr>
        <w:pStyle w:val="132"/>
        <w:ind w:firstLine="360"/>
        <w:jc w:val="both"/>
      </w:pPr>
      <w:r>
        <w:rPr>
          <w:rFonts w:hint="eastAsia"/>
        </w:rPr>
        <w:t>注：专业相关度评价维度包括“很相关”、“比较相关”、“一般”、“比较不相关”、“很不相关”和“无法评价”；其中，相关度为选择“很相关”、“比较相关”和“一般”的人数占“此题总人数—无法评价人数”的比例。</w:t>
      </w:r>
    </w:p>
    <w:p>
      <w:pPr>
        <w:pStyle w:val="132"/>
        <w:ind w:firstLine="360"/>
        <w:jc w:val="both"/>
      </w:pPr>
      <w:r>
        <w:rPr>
          <w:rFonts w:hint="eastAsia"/>
        </w:rPr>
        <w:t>数据来源：第三方机构新锦成</w:t>
      </w:r>
      <w:r>
        <w:t>-2019届</w:t>
      </w:r>
      <w:r>
        <w:rPr>
          <w:rFonts w:hint="eastAsia"/>
        </w:rPr>
        <w:t>毕业生就业与培养质量调查。</w:t>
      </w:r>
    </w:p>
    <w:p>
      <w:pPr>
        <w:pStyle w:val="64"/>
        <w:spacing w:before="156" w:after="156"/>
        <w:ind w:firstLine="482"/>
        <w:jc w:val="both"/>
      </w:pPr>
      <w:r>
        <w:rPr>
          <w:rFonts w:hint="eastAsia"/>
          <w:b/>
          <w:color w:val="4472C4" w:themeColor="accent1"/>
          <w:szCs w:val="24"/>
          <w14:textFill>
            <w14:solidFill>
              <w14:schemeClr w14:val="accent1"/>
            </w14:solidFill>
          </w14:textFill>
        </w:rPr>
        <w:t>各主要专业</w:t>
      </w:r>
      <w:r>
        <w:rPr>
          <w:b/>
          <w:color w:val="4472C4" w:themeColor="accent1"/>
          <w:szCs w:val="24"/>
          <w14:textFill>
            <w14:solidFill>
              <w14:schemeClr w14:val="accent1"/>
            </w14:solidFill>
          </w14:textFill>
        </w:rPr>
        <w:t>的专业</w:t>
      </w:r>
      <w:r>
        <w:rPr>
          <w:rFonts w:hint="eastAsia"/>
          <w:b/>
          <w:color w:val="4472C4" w:themeColor="accent1"/>
          <w:szCs w:val="24"/>
          <w14:textFill>
            <w14:solidFill>
              <w14:schemeClr w14:val="accent1"/>
            </w14:solidFill>
          </w14:textFill>
        </w:rPr>
        <w:t>相关</w:t>
      </w:r>
      <w:r>
        <w:rPr>
          <w:b/>
          <w:color w:val="4472C4" w:themeColor="accent1"/>
          <w:szCs w:val="24"/>
          <w14:textFill>
            <w14:solidFill>
              <w14:schemeClr w14:val="accent1"/>
            </w14:solidFill>
          </w14:textFill>
        </w:rPr>
        <w:t>度：</w:t>
      </w:r>
      <w:r>
        <w:rPr>
          <w:rFonts w:hint="eastAsia"/>
          <w:lang w:val="en-US"/>
        </w:rPr>
        <w:t>数学与应用数学</w:t>
      </w:r>
      <w:r>
        <w:rPr>
          <w:rFonts w:hint="eastAsia"/>
        </w:rPr>
        <w:t>的毕业生工作的专业相关度相对较高，</w:t>
      </w:r>
      <w:r>
        <w:rPr>
          <w:rFonts w:hint="eastAsia" w:ascii="Times New Roman" w:hAnsi="Times New Roman"/>
        </w:rPr>
        <w:t>均值为4</w:t>
      </w:r>
      <w:r>
        <w:rPr>
          <w:rFonts w:ascii="Times New Roman" w:hAnsi="Times New Roman"/>
        </w:rPr>
        <w:t>.</w:t>
      </w:r>
      <w:r>
        <w:rPr>
          <w:rFonts w:hint="eastAsia" w:ascii="Times New Roman" w:hAnsi="Times New Roman"/>
        </w:rPr>
        <w:t>62分，偏向于“很相关”水平</w:t>
      </w:r>
      <w:r>
        <w:rPr>
          <w:rFonts w:hint="eastAsia"/>
        </w:rPr>
        <w:t>；而光电信息科学与工程的毕业生工作的专业相关度相对较低</w:t>
      </w:r>
      <w:r>
        <w:rPr>
          <w:rFonts w:hint="eastAsia" w:ascii="Times New Roman" w:hAnsi="Times New Roman"/>
        </w:rPr>
        <w:t>，均值为2.24分。</w:t>
      </w:r>
    </w:p>
    <w:p>
      <w:pPr>
        <w:pStyle w:val="203"/>
        <w:spacing w:before="0" w:beforeLines="0" w:after="0" w:afterLines="0"/>
      </w:pPr>
      <w:bookmarkStart w:id="154" w:name="_Toc27002309"/>
      <w:r>
        <w:rPr>
          <w:rFonts w:hint="eastAsia"/>
        </w:rPr>
        <w:t xml:space="preserve">表3- </w:t>
      </w:r>
      <w:r>
        <w:fldChar w:fldCharType="begin"/>
      </w:r>
      <w:r>
        <w:instrText xml:space="preserve"> </w:instrText>
      </w:r>
      <w:r>
        <w:rPr>
          <w:rFonts w:hint="eastAsia"/>
        </w:rPr>
        <w:instrText xml:space="preserve">SEQ 表3- \* ARABIC</w:instrText>
      </w:r>
      <w:r>
        <w:instrText xml:space="preserve"> </w:instrText>
      </w:r>
      <w:r>
        <w:fldChar w:fldCharType="separate"/>
      </w:r>
      <w:r>
        <w:t>1</w:t>
      </w:r>
      <w:r>
        <w:fldChar w:fldCharType="end"/>
      </w:r>
      <w:r>
        <w:t xml:space="preserve">  </w:t>
      </w:r>
      <w:r>
        <w:rPr>
          <w:rFonts w:hint="eastAsia"/>
        </w:rPr>
        <w:t>2019届主要专业</w:t>
      </w:r>
      <w:r>
        <w:t>毕业生专业相关度</w:t>
      </w:r>
      <w:r>
        <w:rPr>
          <w:rFonts w:hint="eastAsia"/>
        </w:rPr>
        <w:t>情况分布</w:t>
      </w:r>
      <w:bookmarkEnd w:id="154"/>
    </w:p>
    <w:tbl>
      <w:tblPr>
        <w:tblStyle w:val="212"/>
        <w:tblW w:w="4870" w:type="pct"/>
        <w:jc w:val="center"/>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Layout w:type="fixed"/>
        <w:tblCellMar>
          <w:top w:w="0" w:type="dxa"/>
          <w:left w:w="28" w:type="dxa"/>
          <w:bottom w:w="0" w:type="dxa"/>
          <w:right w:w="28" w:type="dxa"/>
        </w:tblCellMar>
      </w:tblPr>
      <w:tblGrid>
        <w:gridCol w:w="2586"/>
        <w:gridCol w:w="861"/>
        <w:gridCol w:w="861"/>
        <w:gridCol w:w="861"/>
        <w:gridCol w:w="861"/>
        <w:gridCol w:w="861"/>
        <w:gridCol w:w="861"/>
        <w:gridCol w:w="861"/>
      </w:tblGrid>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28" w:type="dxa"/>
            <w:bottom w:w="0" w:type="dxa"/>
            <w:right w:w="28" w:type="dxa"/>
          </w:tblCellMar>
        </w:tblPrEx>
        <w:trPr>
          <w:trHeight w:val="281" w:hRule="atLeast"/>
          <w:tblHeader/>
          <w:jc w:val="center"/>
        </w:trPr>
        <w:tc>
          <w:tcPr>
            <w:tcW w:w="1500" w:type="pct"/>
            <w:tcBorders>
              <w:top w:val="nil"/>
              <w:left w:val="nil"/>
              <w:bottom w:val="nil"/>
              <w:right w:val="nil"/>
              <w:insideV w:val="nil"/>
            </w:tcBorders>
            <w:shd w:val="clear" w:color="auto" w:fill="4472C4" w:themeFill="accent1"/>
            <w:noWrap/>
            <w:vAlign w:val="center"/>
          </w:tcPr>
          <w:p>
            <w:pPr>
              <w:spacing w:before="0"/>
              <w:jc w:val="center"/>
              <w:rPr>
                <w:rFonts w:ascii="Times New Roman" w:hAnsi="Times New Roman" w:eastAsiaTheme="minorEastAsia" w:cstheme="minorBidi"/>
                <w:b/>
                <w:bCs/>
                <w:color w:val="FFFFFF" w:themeColor="background1"/>
                <w:sz w:val="21"/>
                <w:szCs w:val="21"/>
                <w14:textFill>
                  <w14:solidFill>
                    <w14:schemeClr w14:val="bg1"/>
                  </w14:solidFill>
                </w14:textFill>
              </w:rPr>
            </w:pPr>
            <w:r>
              <w:rPr>
                <w:rFonts w:hint="eastAsia" w:eastAsiaTheme="minorEastAsia" w:cstheme="minorBidi"/>
                <w:b/>
                <w:bCs/>
                <w:color w:val="FFFFFF" w:themeColor="background1"/>
                <w:sz w:val="21"/>
                <w:szCs w:val="21"/>
                <w14:textFill>
                  <w14:solidFill>
                    <w14:schemeClr w14:val="bg1"/>
                  </w14:solidFill>
                </w14:textFill>
              </w:rPr>
              <w:t>专业</w:t>
            </w:r>
          </w:p>
        </w:tc>
        <w:tc>
          <w:tcPr>
            <w:tcW w:w="500" w:type="pct"/>
            <w:tcBorders>
              <w:top w:val="nil"/>
              <w:left w:val="nil"/>
              <w:bottom w:val="nil"/>
              <w:right w:val="nil"/>
              <w:insideV w:val="nil"/>
            </w:tcBorders>
            <w:shd w:val="clear" w:color="auto" w:fill="4472C4" w:themeFill="accent1"/>
            <w:noWrap/>
            <w:vAlign w:val="center"/>
          </w:tcPr>
          <w:p>
            <w:pPr>
              <w:spacing w:before="0"/>
              <w:jc w:val="center"/>
              <w:rPr>
                <w:rFonts w:ascii="Times New Roman" w:hAnsi="Times New Roman" w:eastAsiaTheme="minorEastAsia" w:cstheme="minorBidi"/>
                <w:b/>
                <w:bCs/>
                <w:color w:val="FFFFFF" w:themeColor="background1"/>
                <w:sz w:val="21"/>
                <w:szCs w:val="21"/>
                <w14:textFill>
                  <w14:solidFill>
                    <w14:schemeClr w14:val="bg1"/>
                  </w14:solidFill>
                </w14:textFill>
              </w:rPr>
            </w:pPr>
            <w:r>
              <w:rPr>
                <w:rFonts w:hint="eastAsia" w:eastAsiaTheme="minorEastAsia" w:cstheme="minorBidi"/>
                <w:b/>
                <w:bCs/>
                <w:color w:val="FFFFFF" w:themeColor="background1"/>
                <w:sz w:val="21"/>
                <w:szCs w:val="21"/>
                <w14:textFill>
                  <w14:solidFill>
                    <w14:schemeClr w14:val="bg1"/>
                  </w14:solidFill>
                </w14:textFill>
              </w:rPr>
              <w:t>很相关</w:t>
            </w:r>
          </w:p>
        </w:tc>
        <w:tc>
          <w:tcPr>
            <w:tcW w:w="500" w:type="pct"/>
            <w:tcBorders>
              <w:top w:val="nil"/>
              <w:left w:val="nil"/>
              <w:bottom w:val="nil"/>
              <w:right w:val="nil"/>
              <w:insideV w:val="nil"/>
            </w:tcBorders>
            <w:shd w:val="clear" w:color="auto" w:fill="4472C4" w:themeFill="accent1"/>
            <w:vAlign w:val="center"/>
          </w:tcPr>
          <w:p>
            <w:pPr>
              <w:spacing w:before="0"/>
              <w:jc w:val="center"/>
              <w:rPr>
                <w:rFonts w:eastAsiaTheme="minorEastAsia" w:cstheme="minorBidi"/>
                <w:b w:val="0"/>
                <w:bCs w:val="0"/>
                <w:color w:val="FFFFFF" w:themeColor="background1"/>
                <w:sz w:val="21"/>
                <w:szCs w:val="21"/>
                <w14:textFill>
                  <w14:solidFill>
                    <w14:schemeClr w14:val="bg1"/>
                  </w14:solidFill>
                </w14:textFill>
              </w:rPr>
            </w:pPr>
            <w:r>
              <w:rPr>
                <w:rFonts w:hint="eastAsia" w:eastAsiaTheme="minorEastAsia" w:cstheme="minorBidi"/>
                <w:b/>
                <w:bCs/>
                <w:color w:val="FFFFFF" w:themeColor="background1"/>
                <w:sz w:val="21"/>
                <w:szCs w:val="21"/>
                <w14:textFill>
                  <w14:solidFill>
                    <w14:schemeClr w14:val="bg1"/>
                  </w14:solidFill>
                </w14:textFill>
              </w:rPr>
              <w:t>比较</w:t>
            </w:r>
          </w:p>
          <w:p>
            <w:pPr>
              <w:spacing w:before="0"/>
              <w:jc w:val="center"/>
              <w:rPr>
                <w:rFonts w:ascii="Times New Roman" w:hAnsi="Times New Roman" w:eastAsiaTheme="minorEastAsia" w:cstheme="minorBidi"/>
                <w:b/>
                <w:bCs/>
                <w:color w:val="FFFFFF" w:themeColor="background1"/>
                <w:sz w:val="21"/>
                <w:szCs w:val="21"/>
                <w14:textFill>
                  <w14:solidFill>
                    <w14:schemeClr w14:val="bg1"/>
                  </w14:solidFill>
                </w14:textFill>
              </w:rPr>
            </w:pPr>
            <w:r>
              <w:rPr>
                <w:rFonts w:hint="eastAsia" w:eastAsiaTheme="minorEastAsia" w:cstheme="minorBidi"/>
                <w:b/>
                <w:bCs/>
                <w:color w:val="FFFFFF" w:themeColor="background1"/>
                <w:sz w:val="21"/>
                <w:szCs w:val="21"/>
                <w14:textFill>
                  <w14:solidFill>
                    <w14:schemeClr w14:val="bg1"/>
                  </w14:solidFill>
                </w14:textFill>
              </w:rPr>
              <w:t>相关</w:t>
            </w:r>
          </w:p>
        </w:tc>
        <w:tc>
          <w:tcPr>
            <w:tcW w:w="500" w:type="pct"/>
            <w:tcBorders>
              <w:top w:val="nil"/>
              <w:left w:val="nil"/>
              <w:bottom w:val="nil"/>
              <w:right w:val="nil"/>
              <w:insideV w:val="nil"/>
            </w:tcBorders>
            <w:shd w:val="clear" w:color="auto" w:fill="4472C4" w:themeFill="accent1"/>
            <w:vAlign w:val="center"/>
          </w:tcPr>
          <w:p>
            <w:pPr>
              <w:spacing w:before="0"/>
              <w:jc w:val="center"/>
              <w:rPr>
                <w:rFonts w:ascii="Times New Roman" w:hAnsi="Times New Roman" w:eastAsiaTheme="minorEastAsia" w:cstheme="minorBidi"/>
                <w:b/>
                <w:bCs/>
                <w:color w:val="FFFFFF" w:themeColor="background1"/>
                <w:sz w:val="21"/>
                <w:szCs w:val="21"/>
                <w14:textFill>
                  <w14:solidFill>
                    <w14:schemeClr w14:val="bg1"/>
                  </w14:solidFill>
                </w14:textFill>
              </w:rPr>
            </w:pPr>
            <w:r>
              <w:rPr>
                <w:rFonts w:hint="eastAsia" w:eastAsiaTheme="minorEastAsia" w:cstheme="minorBidi"/>
                <w:b/>
                <w:bCs/>
                <w:color w:val="FFFFFF" w:themeColor="background1"/>
                <w:sz w:val="21"/>
                <w:szCs w:val="21"/>
                <w14:textFill>
                  <w14:solidFill>
                    <w14:schemeClr w14:val="bg1"/>
                  </w14:solidFill>
                </w14:textFill>
              </w:rPr>
              <w:t>一般</w:t>
            </w:r>
          </w:p>
        </w:tc>
        <w:tc>
          <w:tcPr>
            <w:tcW w:w="500" w:type="pct"/>
            <w:tcBorders>
              <w:top w:val="nil"/>
              <w:left w:val="nil"/>
              <w:bottom w:val="nil"/>
              <w:right w:val="nil"/>
              <w:insideV w:val="nil"/>
            </w:tcBorders>
            <w:shd w:val="clear" w:color="auto" w:fill="4472C4" w:themeFill="accent1"/>
            <w:vAlign w:val="center"/>
          </w:tcPr>
          <w:p>
            <w:pPr>
              <w:spacing w:before="0"/>
              <w:jc w:val="center"/>
              <w:rPr>
                <w:rFonts w:eastAsiaTheme="minorEastAsia" w:cstheme="minorBidi"/>
                <w:b w:val="0"/>
                <w:bCs w:val="0"/>
                <w:color w:val="FFFFFF" w:themeColor="background1"/>
                <w:sz w:val="21"/>
                <w:szCs w:val="21"/>
                <w14:textFill>
                  <w14:solidFill>
                    <w14:schemeClr w14:val="bg1"/>
                  </w14:solidFill>
                </w14:textFill>
              </w:rPr>
            </w:pPr>
            <w:r>
              <w:rPr>
                <w:rFonts w:hint="eastAsia" w:eastAsiaTheme="minorEastAsia" w:cstheme="minorBidi"/>
                <w:b/>
                <w:bCs/>
                <w:color w:val="FFFFFF" w:themeColor="background1"/>
                <w:sz w:val="21"/>
                <w:szCs w:val="21"/>
                <w14:textFill>
                  <w14:solidFill>
                    <w14:schemeClr w14:val="bg1"/>
                  </w14:solidFill>
                </w14:textFill>
              </w:rPr>
              <w:t>比较</w:t>
            </w:r>
          </w:p>
          <w:p>
            <w:pPr>
              <w:spacing w:before="0"/>
              <w:jc w:val="center"/>
              <w:rPr>
                <w:rFonts w:ascii="Times New Roman" w:hAnsi="Times New Roman" w:eastAsiaTheme="minorEastAsia" w:cstheme="minorBidi"/>
                <w:b/>
                <w:bCs/>
                <w:color w:val="FFFFFF"/>
                <w:sz w:val="21"/>
                <w:szCs w:val="21"/>
              </w:rPr>
            </w:pPr>
            <w:r>
              <w:rPr>
                <w:rFonts w:hint="eastAsia" w:eastAsiaTheme="minorEastAsia" w:cstheme="minorBidi"/>
                <w:b/>
                <w:bCs/>
                <w:color w:val="FFFFFF" w:themeColor="background1"/>
                <w:sz w:val="21"/>
                <w:szCs w:val="21"/>
                <w14:textFill>
                  <w14:solidFill>
                    <w14:schemeClr w14:val="bg1"/>
                  </w14:solidFill>
                </w14:textFill>
              </w:rPr>
              <w:t>不相关</w:t>
            </w:r>
          </w:p>
        </w:tc>
        <w:tc>
          <w:tcPr>
            <w:tcW w:w="500" w:type="pct"/>
            <w:tcBorders>
              <w:top w:val="nil"/>
              <w:left w:val="nil"/>
              <w:bottom w:val="nil"/>
              <w:right w:val="nil"/>
              <w:insideV w:val="nil"/>
            </w:tcBorders>
            <w:shd w:val="clear" w:color="auto" w:fill="4472C4" w:themeFill="accent1"/>
            <w:vAlign w:val="center"/>
          </w:tcPr>
          <w:p>
            <w:pPr>
              <w:spacing w:before="0"/>
              <w:jc w:val="center"/>
              <w:rPr>
                <w:rFonts w:eastAsiaTheme="minorEastAsia" w:cstheme="minorBidi"/>
                <w:b w:val="0"/>
                <w:bCs w:val="0"/>
                <w:color w:val="FFFFFF" w:themeColor="background1"/>
                <w:sz w:val="21"/>
                <w:szCs w:val="21"/>
                <w14:textFill>
                  <w14:solidFill>
                    <w14:schemeClr w14:val="bg1"/>
                  </w14:solidFill>
                </w14:textFill>
              </w:rPr>
            </w:pPr>
            <w:r>
              <w:rPr>
                <w:rFonts w:hint="eastAsia" w:eastAsiaTheme="minorEastAsia" w:cstheme="minorBidi"/>
                <w:b/>
                <w:bCs/>
                <w:color w:val="FFFFFF" w:themeColor="background1"/>
                <w:sz w:val="21"/>
                <w:szCs w:val="21"/>
                <w14:textFill>
                  <w14:solidFill>
                    <w14:schemeClr w14:val="bg1"/>
                  </w14:solidFill>
                </w14:textFill>
              </w:rPr>
              <w:t>很不</w:t>
            </w:r>
          </w:p>
          <w:p>
            <w:pPr>
              <w:spacing w:before="0"/>
              <w:jc w:val="center"/>
              <w:rPr>
                <w:rFonts w:asciiTheme="minorEastAsia" w:hAnsiTheme="minorEastAsia" w:eastAsiaTheme="minorEastAsia" w:cstheme="minorBidi"/>
                <w:b/>
                <w:bCs/>
                <w:color w:val="FFFFFF" w:themeColor="background1"/>
                <w:sz w:val="21"/>
                <w:szCs w:val="21"/>
                <w14:textFill>
                  <w14:solidFill>
                    <w14:schemeClr w14:val="bg1"/>
                  </w14:solidFill>
                </w14:textFill>
              </w:rPr>
            </w:pPr>
            <w:r>
              <w:rPr>
                <w:rFonts w:hint="eastAsia" w:eastAsiaTheme="minorEastAsia" w:cstheme="minorBidi"/>
                <w:b/>
                <w:bCs/>
                <w:color w:val="FFFFFF" w:themeColor="background1"/>
                <w:sz w:val="21"/>
                <w:szCs w:val="21"/>
                <w14:textFill>
                  <w14:solidFill>
                    <w14:schemeClr w14:val="bg1"/>
                  </w14:solidFill>
                </w14:textFill>
              </w:rPr>
              <w:t>相关</w:t>
            </w:r>
          </w:p>
        </w:tc>
        <w:tc>
          <w:tcPr>
            <w:tcW w:w="500" w:type="pct"/>
            <w:tcBorders>
              <w:top w:val="nil"/>
              <w:left w:val="nil"/>
              <w:bottom w:val="nil"/>
              <w:right w:val="nil"/>
              <w:insideV w:val="nil"/>
            </w:tcBorders>
            <w:shd w:val="clear" w:color="auto" w:fill="4472C4" w:themeFill="accent1"/>
            <w:vAlign w:val="center"/>
          </w:tcPr>
          <w:p>
            <w:pPr>
              <w:spacing w:before="0"/>
              <w:jc w:val="center"/>
              <w:rPr>
                <w:rFonts w:asciiTheme="minorEastAsia" w:hAnsiTheme="minorEastAsia" w:eastAsiaTheme="minorEastAsia" w:cstheme="minorBidi"/>
                <w:b/>
                <w:bCs/>
                <w:color w:val="FFFFFF" w:themeColor="background1"/>
                <w:sz w:val="21"/>
                <w:szCs w:val="21"/>
                <w14:textFill>
                  <w14:solidFill>
                    <w14:schemeClr w14:val="bg1"/>
                  </w14:solidFill>
                </w14:textFill>
              </w:rPr>
            </w:pPr>
            <w:r>
              <w:rPr>
                <w:rFonts w:hint="eastAsia" w:eastAsiaTheme="minorEastAsia" w:cstheme="minorBidi"/>
                <w:b/>
                <w:bCs/>
                <w:color w:val="FFFFFF" w:themeColor="background1"/>
                <w:sz w:val="21"/>
                <w:szCs w:val="21"/>
                <w14:textFill>
                  <w14:solidFill>
                    <w14:schemeClr w14:val="bg1"/>
                  </w14:solidFill>
                </w14:textFill>
              </w:rPr>
              <w:t>相关度</w:t>
            </w:r>
          </w:p>
        </w:tc>
        <w:tc>
          <w:tcPr>
            <w:tcW w:w="500" w:type="pct"/>
            <w:tcBorders>
              <w:top w:val="nil"/>
              <w:left w:val="nil"/>
              <w:bottom w:val="nil"/>
              <w:right w:val="nil"/>
              <w:insideV w:val="nil"/>
            </w:tcBorders>
            <w:shd w:val="clear" w:color="auto" w:fill="4472C4" w:themeFill="accent1"/>
            <w:vAlign w:val="center"/>
          </w:tcPr>
          <w:p>
            <w:pPr>
              <w:spacing w:before="0"/>
              <w:jc w:val="center"/>
              <w:rPr>
                <w:rFonts w:eastAsiaTheme="minorEastAsia" w:cstheme="minorBidi"/>
                <w:b/>
                <w:bCs/>
                <w:color w:val="FFFFFF" w:themeColor="background1"/>
                <w:sz w:val="21"/>
                <w:szCs w:val="21"/>
                <w14:textFill>
                  <w14:solidFill>
                    <w14:schemeClr w14:val="bg1"/>
                  </w14:solidFill>
                </w14:textFill>
              </w:rPr>
            </w:pPr>
            <w:r>
              <w:rPr>
                <w:rFonts w:hint="eastAsia" w:eastAsiaTheme="minorEastAsia" w:cstheme="minorBidi"/>
                <w:b/>
                <w:bCs/>
                <w:color w:val="FFFFFF" w:themeColor="background1"/>
                <w:sz w:val="21"/>
                <w:szCs w:val="21"/>
                <w14:textFill>
                  <w14:solidFill>
                    <w14:schemeClr w14:val="bg1"/>
                  </w14:solidFill>
                </w14:textFill>
              </w:rPr>
              <w:t>均值</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28" w:type="dxa"/>
            <w:bottom w:w="0" w:type="dxa"/>
            <w:right w:w="28" w:type="dxa"/>
          </w:tblCellMar>
        </w:tblPrEx>
        <w:trPr>
          <w:trHeight w:val="281" w:hRule="atLeast"/>
          <w:jc w:val="center"/>
        </w:trPr>
        <w:tc>
          <w:tcPr>
            <w:tcW w:w="1500" w:type="pct"/>
            <w:shd w:val="clear" w:color="auto" w:fill="D9E2F3" w:themeFill="accent1" w:themeFillTint="33"/>
            <w:noWrap/>
            <w:vAlign w:val="center"/>
          </w:tcPr>
          <w:p>
            <w:pPr>
              <w:spacing w:before="0"/>
              <w:jc w:val="center"/>
              <w:rPr>
                <w:rFonts w:asciiTheme="minorEastAsia" w:hAnsiTheme="minorEastAsia" w:eastAsiaTheme="minorEastAsia" w:cstheme="minorBidi"/>
                <w:b w:val="0"/>
                <w:bCs/>
                <w:color w:val="000000"/>
                <w:sz w:val="21"/>
                <w:szCs w:val="21"/>
              </w:rPr>
            </w:pPr>
            <w:r>
              <w:rPr>
                <w:rFonts w:hint="eastAsia" w:asciiTheme="minorEastAsia" w:hAnsiTheme="minorEastAsia" w:eastAsiaTheme="minorEastAsia" w:cstheme="minorBidi"/>
                <w:b w:val="0"/>
                <w:bCs/>
                <w:color w:val="000000"/>
                <w:sz w:val="21"/>
                <w:szCs w:val="21"/>
              </w:rPr>
              <w:t>数学与应用数学</w:t>
            </w:r>
          </w:p>
        </w:tc>
        <w:tc>
          <w:tcPr>
            <w:tcW w:w="500" w:type="pct"/>
            <w:shd w:val="clear" w:color="auto" w:fill="D9E2F3" w:themeFill="accent1" w:themeFillTint="33"/>
            <w:noWrap/>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color w:val="000000"/>
                <w:sz w:val="21"/>
                <w:szCs w:val="21"/>
              </w:rPr>
              <w:t>61.54%</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color w:val="000000"/>
                <w:sz w:val="21"/>
                <w:szCs w:val="21"/>
              </w:rPr>
              <w:t>38.46%</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color w:val="000000"/>
                <w:sz w:val="21"/>
                <w:szCs w:val="21"/>
              </w:rPr>
              <w:t>0.00%</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color w:val="000000"/>
                <w:sz w:val="21"/>
                <w:szCs w:val="21"/>
              </w:rPr>
              <w:t>0.00%</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color w:val="000000"/>
                <w:sz w:val="21"/>
                <w:szCs w:val="21"/>
              </w:rPr>
              <w:t>0.00%</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color w:val="000000"/>
                <w:sz w:val="21"/>
                <w:szCs w:val="21"/>
              </w:rPr>
              <w:t>100.00%</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color w:val="000000"/>
                <w:sz w:val="21"/>
                <w:szCs w:val="21"/>
              </w:rPr>
              <w:t>4.62</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28" w:type="dxa"/>
            <w:bottom w:w="0" w:type="dxa"/>
            <w:right w:w="28" w:type="dxa"/>
          </w:tblCellMar>
        </w:tblPrEx>
        <w:trPr>
          <w:trHeight w:val="281" w:hRule="atLeast"/>
          <w:jc w:val="center"/>
        </w:trPr>
        <w:tc>
          <w:tcPr>
            <w:tcW w:w="1500" w:type="pct"/>
            <w:noWrap/>
            <w:vAlign w:val="center"/>
          </w:tcPr>
          <w:p>
            <w:pPr>
              <w:spacing w:before="0"/>
              <w:jc w:val="center"/>
              <w:rPr>
                <w:rFonts w:asciiTheme="minorEastAsia" w:hAnsiTheme="minorEastAsia" w:eastAsiaTheme="minorEastAsia" w:cstheme="minorBidi"/>
                <w:b w:val="0"/>
                <w:bCs/>
                <w:color w:val="000000"/>
                <w:sz w:val="21"/>
                <w:szCs w:val="21"/>
              </w:rPr>
            </w:pPr>
            <w:r>
              <w:rPr>
                <w:rFonts w:hint="eastAsia" w:asciiTheme="minorEastAsia" w:hAnsiTheme="minorEastAsia" w:eastAsiaTheme="minorEastAsia" w:cstheme="minorBidi"/>
                <w:b w:val="0"/>
                <w:bCs/>
                <w:color w:val="000000"/>
                <w:sz w:val="21"/>
                <w:szCs w:val="21"/>
              </w:rPr>
              <w:t>音乐学</w:t>
            </w:r>
          </w:p>
        </w:tc>
        <w:tc>
          <w:tcPr>
            <w:tcW w:w="500" w:type="pct"/>
            <w:noWrap/>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68.75%</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12.50%</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12.50%</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6.25%</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0.00%</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93.75%</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4.44</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28" w:type="dxa"/>
            <w:bottom w:w="0" w:type="dxa"/>
            <w:right w:w="28" w:type="dxa"/>
          </w:tblCellMar>
        </w:tblPrEx>
        <w:trPr>
          <w:trHeight w:val="281" w:hRule="atLeast"/>
          <w:jc w:val="center"/>
        </w:trPr>
        <w:tc>
          <w:tcPr>
            <w:tcW w:w="1500" w:type="pct"/>
            <w:shd w:val="clear" w:color="auto" w:fill="D9E2F3" w:themeFill="accent1" w:themeFillTint="33"/>
            <w:noWrap/>
            <w:vAlign w:val="center"/>
          </w:tcPr>
          <w:p>
            <w:pPr>
              <w:spacing w:before="0"/>
              <w:jc w:val="center"/>
              <w:rPr>
                <w:rFonts w:asciiTheme="minorEastAsia" w:hAnsiTheme="minorEastAsia" w:eastAsiaTheme="minorEastAsia" w:cstheme="minorBidi"/>
                <w:b w:val="0"/>
                <w:bCs/>
                <w:color w:val="000000"/>
                <w:sz w:val="21"/>
                <w:szCs w:val="21"/>
              </w:rPr>
            </w:pPr>
            <w:r>
              <w:rPr>
                <w:rFonts w:hint="eastAsia" w:asciiTheme="minorEastAsia" w:hAnsiTheme="minorEastAsia" w:eastAsiaTheme="minorEastAsia" w:cstheme="minorBidi"/>
                <w:b w:val="0"/>
                <w:bCs/>
                <w:color w:val="000000"/>
                <w:sz w:val="21"/>
                <w:szCs w:val="21"/>
              </w:rPr>
              <w:t>汉语言文学</w:t>
            </w:r>
          </w:p>
        </w:tc>
        <w:tc>
          <w:tcPr>
            <w:tcW w:w="500" w:type="pct"/>
            <w:shd w:val="clear" w:color="auto" w:fill="D9E2F3" w:themeFill="accent1" w:themeFillTint="33"/>
            <w:noWrap/>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color w:val="000000"/>
                <w:sz w:val="21"/>
                <w:szCs w:val="21"/>
              </w:rPr>
              <w:t>50.00%</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color w:val="000000"/>
                <w:sz w:val="21"/>
                <w:szCs w:val="21"/>
              </w:rPr>
              <w:t>30.00%</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color w:val="000000"/>
                <w:sz w:val="21"/>
                <w:szCs w:val="21"/>
              </w:rPr>
              <w:t>20.00%</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color w:val="000000"/>
                <w:sz w:val="21"/>
                <w:szCs w:val="21"/>
              </w:rPr>
              <w:t>0.00%</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color w:val="000000"/>
                <w:sz w:val="21"/>
                <w:szCs w:val="21"/>
              </w:rPr>
              <w:t>0.00%</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color w:val="000000"/>
                <w:sz w:val="21"/>
                <w:szCs w:val="21"/>
              </w:rPr>
              <w:t>100.00%</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color w:val="000000"/>
                <w:sz w:val="21"/>
                <w:szCs w:val="21"/>
              </w:rPr>
              <w:t>4.30</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28" w:type="dxa"/>
            <w:bottom w:w="0" w:type="dxa"/>
            <w:right w:w="28" w:type="dxa"/>
          </w:tblCellMar>
        </w:tblPrEx>
        <w:trPr>
          <w:trHeight w:val="281" w:hRule="atLeast"/>
          <w:jc w:val="center"/>
        </w:trPr>
        <w:tc>
          <w:tcPr>
            <w:tcW w:w="1500" w:type="pct"/>
            <w:noWrap/>
            <w:vAlign w:val="center"/>
          </w:tcPr>
          <w:p>
            <w:pPr>
              <w:spacing w:before="0"/>
              <w:jc w:val="center"/>
              <w:rPr>
                <w:rFonts w:asciiTheme="minorEastAsia" w:hAnsiTheme="minorEastAsia" w:eastAsiaTheme="minorEastAsia" w:cstheme="minorBidi"/>
                <w:b w:val="0"/>
                <w:bCs/>
                <w:color w:val="000000"/>
                <w:sz w:val="21"/>
                <w:szCs w:val="21"/>
              </w:rPr>
            </w:pPr>
            <w:r>
              <w:rPr>
                <w:rFonts w:hint="eastAsia" w:asciiTheme="minorEastAsia" w:hAnsiTheme="minorEastAsia" w:eastAsiaTheme="minorEastAsia" w:cstheme="minorBidi"/>
                <w:b w:val="0"/>
                <w:bCs/>
                <w:color w:val="000000"/>
                <w:sz w:val="21"/>
                <w:szCs w:val="21"/>
              </w:rPr>
              <w:t>美术学</w:t>
            </w:r>
          </w:p>
        </w:tc>
        <w:tc>
          <w:tcPr>
            <w:tcW w:w="500" w:type="pct"/>
            <w:noWrap/>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41.67%</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41.67%</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8.33%</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8.33%</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0.00%</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91.67%</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4.17</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28" w:type="dxa"/>
            <w:bottom w:w="0" w:type="dxa"/>
            <w:right w:w="28" w:type="dxa"/>
          </w:tblCellMar>
        </w:tblPrEx>
        <w:trPr>
          <w:trHeight w:val="281" w:hRule="atLeast"/>
          <w:jc w:val="center"/>
        </w:trPr>
        <w:tc>
          <w:tcPr>
            <w:tcW w:w="1500" w:type="pct"/>
            <w:shd w:val="clear" w:color="auto" w:fill="D9E2F3" w:themeFill="accent1" w:themeFillTint="33"/>
            <w:noWrap/>
            <w:vAlign w:val="center"/>
          </w:tcPr>
          <w:p>
            <w:pPr>
              <w:spacing w:before="0"/>
              <w:jc w:val="center"/>
              <w:rPr>
                <w:rFonts w:asciiTheme="minorEastAsia" w:hAnsiTheme="minorEastAsia" w:eastAsiaTheme="minorEastAsia" w:cstheme="minorBidi"/>
                <w:b w:val="0"/>
                <w:bCs/>
                <w:color w:val="000000"/>
                <w:sz w:val="21"/>
                <w:szCs w:val="21"/>
              </w:rPr>
            </w:pPr>
            <w:r>
              <w:rPr>
                <w:rFonts w:hint="eastAsia" w:asciiTheme="minorEastAsia" w:hAnsiTheme="minorEastAsia" w:eastAsiaTheme="minorEastAsia" w:cstheme="minorBidi"/>
                <w:b w:val="0"/>
                <w:bCs/>
                <w:color w:val="000000"/>
                <w:sz w:val="21"/>
                <w:szCs w:val="21"/>
              </w:rPr>
              <w:t>英语</w:t>
            </w:r>
          </w:p>
        </w:tc>
        <w:tc>
          <w:tcPr>
            <w:tcW w:w="500" w:type="pct"/>
            <w:shd w:val="clear" w:color="auto" w:fill="D9E2F3" w:themeFill="accent1" w:themeFillTint="33"/>
            <w:noWrap/>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41.67%</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37.50%</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13.89%</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5.56%</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1.39%</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93.06%</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4.13</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28" w:type="dxa"/>
            <w:bottom w:w="0" w:type="dxa"/>
            <w:right w:w="28" w:type="dxa"/>
          </w:tblCellMar>
        </w:tblPrEx>
        <w:trPr>
          <w:trHeight w:val="281" w:hRule="atLeast"/>
          <w:jc w:val="center"/>
        </w:trPr>
        <w:tc>
          <w:tcPr>
            <w:tcW w:w="1500" w:type="pct"/>
            <w:noWrap/>
            <w:vAlign w:val="center"/>
          </w:tcPr>
          <w:p>
            <w:pPr>
              <w:spacing w:before="0"/>
              <w:jc w:val="center"/>
              <w:rPr>
                <w:rFonts w:asciiTheme="minorEastAsia" w:hAnsiTheme="minorEastAsia" w:eastAsiaTheme="minorEastAsia" w:cstheme="minorBidi"/>
                <w:b w:val="0"/>
                <w:bCs/>
                <w:color w:val="000000"/>
                <w:sz w:val="21"/>
                <w:szCs w:val="21"/>
              </w:rPr>
            </w:pPr>
            <w:r>
              <w:rPr>
                <w:rFonts w:hint="eastAsia" w:asciiTheme="minorEastAsia" w:hAnsiTheme="minorEastAsia" w:eastAsiaTheme="minorEastAsia" w:cstheme="minorBidi"/>
                <w:b w:val="0"/>
                <w:bCs/>
                <w:color w:val="000000"/>
                <w:sz w:val="21"/>
                <w:szCs w:val="21"/>
              </w:rPr>
              <w:t>建筑学</w:t>
            </w:r>
          </w:p>
        </w:tc>
        <w:tc>
          <w:tcPr>
            <w:tcW w:w="500" w:type="pct"/>
            <w:noWrap/>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36.00%</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44.00%</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16.00%</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0.00%</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4.00%</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96.00%</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4.08</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28" w:type="dxa"/>
            <w:bottom w:w="0" w:type="dxa"/>
            <w:right w:w="28" w:type="dxa"/>
          </w:tblCellMar>
        </w:tblPrEx>
        <w:trPr>
          <w:trHeight w:val="281" w:hRule="atLeast"/>
          <w:jc w:val="center"/>
        </w:trPr>
        <w:tc>
          <w:tcPr>
            <w:tcW w:w="1500" w:type="pct"/>
            <w:shd w:val="clear" w:color="auto" w:fill="D9E2F3" w:themeFill="accent1" w:themeFillTint="33"/>
            <w:noWrap/>
            <w:vAlign w:val="center"/>
          </w:tcPr>
          <w:p>
            <w:pPr>
              <w:spacing w:before="0"/>
              <w:jc w:val="center"/>
              <w:rPr>
                <w:rFonts w:asciiTheme="minorEastAsia" w:hAnsiTheme="minorEastAsia" w:eastAsiaTheme="minorEastAsia" w:cstheme="minorBidi"/>
                <w:b w:val="0"/>
                <w:bCs/>
                <w:color w:val="000000"/>
                <w:sz w:val="21"/>
                <w:szCs w:val="21"/>
              </w:rPr>
            </w:pPr>
            <w:r>
              <w:rPr>
                <w:rFonts w:hint="eastAsia" w:asciiTheme="minorEastAsia" w:hAnsiTheme="minorEastAsia" w:eastAsiaTheme="minorEastAsia" w:cstheme="minorBidi"/>
                <w:b w:val="0"/>
                <w:bCs/>
                <w:color w:val="000000"/>
                <w:sz w:val="21"/>
                <w:szCs w:val="21"/>
              </w:rPr>
              <w:t>土木工程</w:t>
            </w:r>
          </w:p>
        </w:tc>
        <w:tc>
          <w:tcPr>
            <w:tcW w:w="500" w:type="pct"/>
            <w:shd w:val="clear" w:color="auto" w:fill="D9E2F3" w:themeFill="accent1" w:themeFillTint="33"/>
            <w:noWrap/>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25.84%</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43.82%</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25.84%</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2.25%</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2.25%</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95.51%</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3.89</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28" w:type="dxa"/>
            <w:bottom w:w="0" w:type="dxa"/>
            <w:right w:w="28" w:type="dxa"/>
          </w:tblCellMar>
        </w:tblPrEx>
        <w:trPr>
          <w:trHeight w:val="281" w:hRule="atLeast"/>
          <w:jc w:val="center"/>
        </w:trPr>
        <w:tc>
          <w:tcPr>
            <w:tcW w:w="1500" w:type="pct"/>
            <w:noWrap/>
            <w:vAlign w:val="center"/>
          </w:tcPr>
          <w:p>
            <w:pPr>
              <w:spacing w:before="0"/>
              <w:jc w:val="center"/>
              <w:rPr>
                <w:rFonts w:asciiTheme="minorEastAsia" w:hAnsiTheme="minorEastAsia" w:eastAsiaTheme="minorEastAsia" w:cstheme="minorBidi"/>
                <w:b w:val="0"/>
                <w:bCs/>
                <w:color w:val="000000"/>
                <w:sz w:val="21"/>
                <w:szCs w:val="21"/>
              </w:rPr>
            </w:pPr>
            <w:r>
              <w:rPr>
                <w:rFonts w:hint="eastAsia" w:asciiTheme="minorEastAsia" w:hAnsiTheme="minorEastAsia" w:eastAsiaTheme="minorEastAsia" w:cstheme="minorBidi"/>
                <w:b w:val="0"/>
                <w:bCs/>
                <w:color w:val="000000"/>
                <w:sz w:val="21"/>
                <w:szCs w:val="21"/>
              </w:rPr>
              <w:t>给排水科学与工程</w:t>
            </w:r>
          </w:p>
        </w:tc>
        <w:tc>
          <w:tcPr>
            <w:tcW w:w="500" w:type="pct"/>
            <w:noWrap/>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19.23%</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50.00%</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30.77%</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0.00%</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0.00%</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100.00%</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3.88</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28" w:type="dxa"/>
            <w:bottom w:w="0" w:type="dxa"/>
            <w:right w:w="28" w:type="dxa"/>
          </w:tblCellMar>
        </w:tblPrEx>
        <w:trPr>
          <w:trHeight w:val="281" w:hRule="atLeast"/>
          <w:jc w:val="center"/>
        </w:trPr>
        <w:tc>
          <w:tcPr>
            <w:tcW w:w="1500" w:type="pct"/>
            <w:shd w:val="clear" w:color="auto" w:fill="D9E2F3" w:themeFill="accent1" w:themeFillTint="33"/>
            <w:noWrap/>
            <w:vAlign w:val="center"/>
          </w:tcPr>
          <w:p>
            <w:pPr>
              <w:spacing w:before="0"/>
              <w:jc w:val="center"/>
              <w:rPr>
                <w:rFonts w:asciiTheme="minorEastAsia" w:hAnsiTheme="minorEastAsia" w:eastAsiaTheme="minorEastAsia" w:cstheme="minorBidi"/>
                <w:b w:val="0"/>
                <w:bCs/>
                <w:color w:val="000000"/>
                <w:sz w:val="21"/>
                <w:szCs w:val="21"/>
              </w:rPr>
            </w:pPr>
            <w:r>
              <w:rPr>
                <w:rFonts w:hint="eastAsia" w:asciiTheme="minorEastAsia" w:hAnsiTheme="minorEastAsia" w:eastAsiaTheme="minorEastAsia" w:cstheme="minorBidi"/>
                <w:b w:val="0"/>
                <w:bCs/>
                <w:color w:val="000000"/>
                <w:sz w:val="21"/>
                <w:szCs w:val="21"/>
              </w:rPr>
              <w:t>计算机科学与技术</w:t>
            </w:r>
          </w:p>
        </w:tc>
        <w:tc>
          <w:tcPr>
            <w:tcW w:w="500" w:type="pct"/>
            <w:shd w:val="clear" w:color="auto" w:fill="D9E2F3" w:themeFill="accent1" w:themeFillTint="33"/>
            <w:noWrap/>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18.37%</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55.10%</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18.37%</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8.16%</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0.00%</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91.84%</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3.84</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28" w:type="dxa"/>
            <w:bottom w:w="0" w:type="dxa"/>
            <w:right w:w="28" w:type="dxa"/>
          </w:tblCellMar>
        </w:tblPrEx>
        <w:trPr>
          <w:trHeight w:val="281" w:hRule="atLeast"/>
          <w:jc w:val="center"/>
        </w:trPr>
        <w:tc>
          <w:tcPr>
            <w:tcW w:w="1500" w:type="pct"/>
            <w:noWrap/>
            <w:vAlign w:val="center"/>
          </w:tcPr>
          <w:p>
            <w:pPr>
              <w:spacing w:before="0"/>
              <w:jc w:val="center"/>
              <w:rPr>
                <w:rFonts w:asciiTheme="minorEastAsia" w:hAnsiTheme="minorEastAsia" w:eastAsiaTheme="minorEastAsia" w:cstheme="minorBidi"/>
                <w:b w:val="0"/>
                <w:bCs/>
                <w:color w:val="000000"/>
                <w:sz w:val="21"/>
                <w:szCs w:val="21"/>
              </w:rPr>
            </w:pPr>
            <w:r>
              <w:rPr>
                <w:rFonts w:hint="eastAsia" w:asciiTheme="minorEastAsia" w:hAnsiTheme="minorEastAsia" w:eastAsiaTheme="minorEastAsia" w:cstheme="minorBidi"/>
                <w:b w:val="0"/>
                <w:bCs/>
                <w:color w:val="000000"/>
                <w:sz w:val="21"/>
                <w:szCs w:val="21"/>
              </w:rPr>
              <w:t>英语(翻译)</w:t>
            </w:r>
          </w:p>
        </w:tc>
        <w:tc>
          <w:tcPr>
            <w:tcW w:w="500" w:type="pct"/>
            <w:noWrap/>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33.33%</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33.33%</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16.67%</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16.67%</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0.00%</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83.33%</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3.83</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28" w:type="dxa"/>
            <w:bottom w:w="0" w:type="dxa"/>
            <w:right w:w="28" w:type="dxa"/>
          </w:tblCellMar>
        </w:tblPrEx>
        <w:trPr>
          <w:trHeight w:val="281" w:hRule="atLeast"/>
          <w:jc w:val="center"/>
        </w:trPr>
        <w:tc>
          <w:tcPr>
            <w:tcW w:w="1500" w:type="pct"/>
            <w:shd w:val="clear" w:color="auto" w:fill="D9E2F3" w:themeFill="accent1" w:themeFillTint="33"/>
            <w:noWrap/>
            <w:vAlign w:val="center"/>
          </w:tcPr>
          <w:p>
            <w:pPr>
              <w:spacing w:before="0"/>
              <w:jc w:val="center"/>
              <w:rPr>
                <w:rFonts w:asciiTheme="minorEastAsia" w:hAnsiTheme="minorEastAsia" w:eastAsiaTheme="minorEastAsia" w:cstheme="minorBidi"/>
                <w:b w:val="0"/>
                <w:bCs/>
                <w:color w:val="000000"/>
                <w:sz w:val="21"/>
                <w:szCs w:val="21"/>
              </w:rPr>
            </w:pPr>
            <w:r>
              <w:rPr>
                <w:rFonts w:hint="eastAsia" w:asciiTheme="minorEastAsia" w:hAnsiTheme="minorEastAsia" w:eastAsiaTheme="minorEastAsia" w:cstheme="minorBidi"/>
                <w:b w:val="0"/>
                <w:bCs/>
                <w:color w:val="000000"/>
                <w:sz w:val="21"/>
                <w:szCs w:val="21"/>
              </w:rPr>
              <w:t>体育教育</w:t>
            </w:r>
          </w:p>
        </w:tc>
        <w:tc>
          <w:tcPr>
            <w:tcW w:w="500" w:type="pct"/>
            <w:shd w:val="clear" w:color="auto" w:fill="D9E2F3" w:themeFill="accent1" w:themeFillTint="33"/>
            <w:noWrap/>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23.81%</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38.10%</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33.33%</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0.00%</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4.76%</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95.24%</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3.76</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28" w:type="dxa"/>
            <w:bottom w:w="0" w:type="dxa"/>
            <w:right w:w="28" w:type="dxa"/>
          </w:tblCellMar>
        </w:tblPrEx>
        <w:trPr>
          <w:trHeight w:val="281" w:hRule="atLeast"/>
          <w:jc w:val="center"/>
        </w:trPr>
        <w:tc>
          <w:tcPr>
            <w:tcW w:w="1500" w:type="pct"/>
            <w:noWrap/>
            <w:vAlign w:val="center"/>
          </w:tcPr>
          <w:p>
            <w:pPr>
              <w:spacing w:before="0"/>
              <w:jc w:val="center"/>
              <w:rPr>
                <w:rFonts w:asciiTheme="minorEastAsia" w:hAnsiTheme="minorEastAsia" w:eastAsiaTheme="minorEastAsia" w:cstheme="minorBidi"/>
                <w:b w:val="0"/>
                <w:bCs/>
                <w:color w:val="000000"/>
                <w:sz w:val="21"/>
                <w:szCs w:val="21"/>
              </w:rPr>
            </w:pPr>
            <w:r>
              <w:rPr>
                <w:rFonts w:hint="eastAsia" w:asciiTheme="minorEastAsia" w:hAnsiTheme="minorEastAsia" w:eastAsiaTheme="minorEastAsia" w:cstheme="minorBidi"/>
                <w:b w:val="0"/>
                <w:bCs/>
                <w:color w:val="000000"/>
                <w:sz w:val="21"/>
                <w:szCs w:val="21"/>
              </w:rPr>
              <w:t>环境设计</w:t>
            </w:r>
          </w:p>
        </w:tc>
        <w:tc>
          <w:tcPr>
            <w:tcW w:w="500" w:type="pct"/>
            <w:noWrap/>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35.71%</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35.71%</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7.14%</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7.14%</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14.29%</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78.57%</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3.71</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28" w:type="dxa"/>
            <w:bottom w:w="0" w:type="dxa"/>
            <w:right w:w="28" w:type="dxa"/>
          </w:tblCellMar>
        </w:tblPrEx>
        <w:trPr>
          <w:trHeight w:val="281" w:hRule="atLeast"/>
          <w:jc w:val="center"/>
        </w:trPr>
        <w:tc>
          <w:tcPr>
            <w:tcW w:w="1500" w:type="pct"/>
            <w:shd w:val="clear" w:color="auto" w:fill="D9E2F3" w:themeFill="accent1" w:themeFillTint="33"/>
            <w:noWrap/>
            <w:vAlign w:val="center"/>
          </w:tcPr>
          <w:p>
            <w:pPr>
              <w:spacing w:before="0"/>
              <w:jc w:val="center"/>
              <w:rPr>
                <w:rFonts w:asciiTheme="minorEastAsia" w:hAnsiTheme="minorEastAsia" w:eastAsiaTheme="minorEastAsia" w:cstheme="minorBidi"/>
                <w:b w:val="0"/>
                <w:bCs/>
                <w:color w:val="000000"/>
                <w:sz w:val="21"/>
                <w:szCs w:val="21"/>
              </w:rPr>
            </w:pPr>
            <w:r>
              <w:rPr>
                <w:rFonts w:hint="eastAsia" w:asciiTheme="minorEastAsia" w:hAnsiTheme="minorEastAsia" w:eastAsiaTheme="minorEastAsia" w:cstheme="minorBidi"/>
                <w:b w:val="0"/>
                <w:bCs/>
                <w:color w:val="000000"/>
                <w:sz w:val="21"/>
                <w:szCs w:val="21"/>
              </w:rPr>
              <w:t>资产评估</w:t>
            </w:r>
          </w:p>
        </w:tc>
        <w:tc>
          <w:tcPr>
            <w:tcW w:w="500" w:type="pct"/>
            <w:shd w:val="clear" w:color="auto" w:fill="D9E2F3" w:themeFill="accent1" w:themeFillTint="33"/>
            <w:noWrap/>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40.00%</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20.00%</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20.00%</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10.00%</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10.00%</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80.00%</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3.70</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28" w:type="dxa"/>
            <w:bottom w:w="0" w:type="dxa"/>
            <w:right w:w="28" w:type="dxa"/>
          </w:tblCellMar>
        </w:tblPrEx>
        <w:trPr>
          <w:trHeight w:val="281" w:hRule="atLeast"/>
          <w:jc w:val="center"/>
        </w:trPr>
        <w:tc>
          <w:tcPr>
            <w:tcW w:w="1500" w:type="pct"/>
            <w:noWrap/>
            <w:vAlign w:val="center"/>
          </w:tcPr>
          <w:p>
            <w:pPr>
              <w:spacing w:before="0"/>
              <w:jc w:val="center"/>
              <w:rPr>
                <w:rFonts w:asciiTheme="minorEastAsia" w:hAnsiTheme="minorEastAsia" w:eastAsiaTheme="minorEastAsia" w:cstheme="minorBidi"/>
                <w:b w:val="0"/>
                <w:bCs/>
                <w:color w:val="000000"/>
                <w:sz w:val="21"/>
                <w:szCs w:val="21"/>
              </w:rPr>
            </w:pPr>
            <w:r>
              <w:rPr>
                <w:rFonts w:hint="eastAsia" w:asciiTheme="minorEastAsia" w:hAnsiTheme="minorEastAsia" w:eastAsiaTheme="minorEastAsia" w:cstheme="minorBidi"/>
                <w:b w:val="0"/>
                <w:bCs/>
                <w:color w:val="000000"/>
                <w:sz w:val="21"/>
                <w:szCs w:val="21"/>
              </w:rPr>
              <w:t>播音与主持艺术</w:t>
            </w:r>
          </w:p>
        </w:tc>
        <w:tc>
          <w:tcPr>
            <w:tcW w:w="500" w:type="pct"/>
            <w:noWrap/>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20.00%</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40.00%</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30.00%</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10.00%</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0.00%</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90.00%</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3.70</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28" w:type="dxa"/>
            <w:bottom w:w="0" w:type="dxa"/>
            <w:right w:w="28" w:type="dxa"/>
          </w:tblCellMar>
        </w:tblPrEx>
        <w:trPr>
          <w:trHeight w:val="281" w:hRule="atLeast"/>
          <w:jc w:val="center"/>
        </w:trPr>
        <w:tc>
          <w:tcPr>
            <w:tcW w:w="1500" w:type="pct"/>
            <w:shd w:val="clear" w:color="auto" w:fill="D9E2F3" w:themeFill="accent1" w:themeFillTint="33"/>
            <w:noWrap/>
            <w:vAlign w:val="center"/>
          </w:tcPr>
          <w:p>
            <w:pPr>
              <w:spacing w:before="0"/>
              <w:jc w:val="center"/>
              <w:rPr>
                <w:rFonts w:asciiTheme="minorEastAsia" w:hAnsiTheme="minorEastAsia" w:eastAsiaTheme="minorEastAsia" w:cstheme="minorBidi"/>
                <w:b w:val="0"/>
                <w:bCs/>
                <w:color w:val="000000"/>
                <w:sz w:val="21"/>
                <w:szCs w:val="21"/>
              </w:rPr>
            </w:pPr>
            <w:r>
              <w:rPr>
                <w:rFonts w:hint="eastAsia" w:asciiTheme="minorEastAsia" w:hAnsiTheme="minorEastAsia" w:eastAsiaTheme="minorEastAsia" w:cstheme="minorBidi"/>
                <w:b w:val="0"/>
                <w:bCs/>
                <w:color w:val="000000"/>
                <w:sz w:val="21"/>
                <w:szCs w:val="21"/>
              </w:rPr>
              <w:t>地理科学</w:t>
            </w:r>
          </w:p>
        </w:tc>
        <w:tc>
          <w:tcPr>
            <w:tcW w:w="500" w:type="pct"/>
            <w:shd w:val="clear" w:color="auto" w:fill="D9E2F3" w:themeFill="accent1" w:themeFillTint="33"/>
            <w:noWrap/>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55.56%</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5.56%</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5.56%</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16.67%</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16.67%</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66.67%</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3.67</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28" w:type="dxa"/>
            <w:bottom w:w="0" w:type="dxa"/>
            <w:right w:w="28" w:type="dxa"/>
          </w:tblCellMar>
        </w:tblPrEx>
        <w:trPr>
          <w:trHeight w:val="281" w:hRule="atLeast"/>
          <w:jc w:val="center"/>
        </w:trPr>
        <w:tc>
          <w:tcPr>
            <w:tcW w:w="1500" w:type="pct"/>
            <w:noWrap/>
            <w:vAlign w:val="center"/>
          </w:tcPr>
          <w:p>
            <w:pPr>
              <w:spacing w:before="0"/>
              <w:jc w:val="center"/>
              <w:rPr>
                <w:rFonts w:asciiTheme="minorEastAsia" w:hAnsiTheme="minorEastAsia" w:eastAsiaTheme="minorEastAsia" w:cstheme="minorBidi"/>
                <w:b w:val="0"/>
                <w:bCs/>
                <w:color w:val="000000"/>
                <w:sz w:val="21"/>
                <w:szCs w:val="21"/>
              </w:rPr>
            </w:pPr>
            <w:r>
              <w:rPr>
                <w:rFonts w:hint="eastAsia" w:asciiTheme="minorEastAsia" w:hAnsiTheme="minorEastAsia" w:eastAsiaTheme="minorEastAsia" w:cstheme="minorBidi"/>
                <w:b w:val="0"/>
                <w:bCs/>
                <w:color w:val="000000"/>
                <w:sz w:val="21"/>
                <w:szCs w:val="21"/>
              </w:rPr>
              <w:t>电气工程及其自动化</w:t>
            </w:r>
          </w:p>
        </w:tc>
        <w:tc>
          <w:tcPr>
            <w:tcW w:w="500" w:type="pct"/>
            <w:noWrap/>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24.32%</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32.43%</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31.08%</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5.41%</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6.76%</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87.84%</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3.62</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28" w:type="dxa"/>
            <w:bottom w:w="0" w:type="dxa"/>
            <w:right w:w="28" w:type="dxa"/>
          </w:tblCellMar>
        </w:tblPrEx>
        <w:trPr>
          <w:trHeight w:val="281" w:hRule="atLeast"/>
          <w:jc w:val="center"/>
        </w:trPr>
        <w:tc>
          <w:tcPr>
            <w:tcW w:w="1500" w:type="pct"/>
            <w:shd w:val="clear" w:color="auto" w:fill="D9E2F3" w:themeFill="accent1" w:themeFillTint="33"/>
            <w:noWrap/>
            <w:vAlign w:val="center"/>
          </w:tcPr>
          <w:p>
            <w:pPr>
              <w:spacing w:before="0"/>
              <w:jc w:val="center"/>
              <w:rPr>
                <w:rFonts w:asciiTheme="minorEastAsia" w:hAnsiTheme="minorEastAsia" w:eastAsiaTheme="minorEastAsia" w:cstheme="minorBidi"/>
                <w:b w:val="0"/>
                <w:bCs/>
                <w:color w:val="000000"/>
                <w:sz w:val="21"/>
                <w:szCs w:val="21"/>
              </w:rPr>
            </w:pPr>
            <w:r>
              <w:rPr>
                <w:rFonts w:hint="eastAsia" w:asciiTheme="minorEastAsia" w:hAnsiTheme="minorEastAsia" w:eastAsiaTheme="minorEastAsia" w:cstheme="minorBidi"/>
                <w:b w:val="0"/>
                <w:bCs/>
                <w:color w:val="000000"/>
                <w:sz w:val="21"/>
                <w:szCs w:val="21"/>
              </w:rPr>
              <w:t>药物制剂</w:t>
            </w:r>
          </w:p>
        </w:tc>
        <w:tc>
          <w:tcPr>
            <w:tcW w:w="500" w:type="pct"/>
            <w:shd w:val="clear" w:color="auto" w:fill="D9E2F3" w:themeFill="accent1" w:themeFillTint="33"/>
            <w:noWrap/>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19.51%</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46.34%</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19.51%</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2.44%</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12.20%</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85.37%</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3.59</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28" w:type="dxa"/>
            <w:bottom w:w="0" w:type="dxa"/>
            <w:right w:w="28" w:type="dxa"/>
          </w:tblCellMar>
        </w:tblPrEx>
        <w:trPr>
          <w:trHeight w:val="281" w:hRule="atLeast"/>
          <w:jc w:val="center"/>
        </w:trPr>
        <w:tc>
          <w:tcPr>
            <w:tcW w:w="1500" w:type="pct"/>
            <w:noWrap/>
            <w:vAlign w:val="center"/>
          </w:tcPr>
          <w:p>
            <w:pPr>
              <w:spacing w:before="0"/>
              <w:jc w:val="center"/>
              <w:rPr>
                <w:rFonts w:asciiTheme="minorEastAsia" w:hAnsiTheme="minorEastAsia" w:eastAsiaTheme="minorEastAsia" w:cstheme="minorBidi"/>
                <w:b w:val="0"/>
                <w:bCs/>
                <w:color w:val="000000"/>
                <w:sz w:val="21"/>
                <w:szCs w:val="21"/>
              </w:rPr>
            </w:pPr>
            <w:r>
              <w:rPr>
                <w:rFonts w:hint="eastAsia" w:asciiTheme="minorEastAsia" w:hAnsiTheme="minorEastAsia" w:eastAsiaTheme="minorEastAsia" w:cstheme="minorBidi"/>
                <w:b w:val="0"/>
                <w:bCs/>
                <w:color w:val="000000"/>
                <w:sz w:val="21"/>
                <w:szCs w:val="21"/>
              </w:rPr>
              <w:t>制药工程</w:t>
            </w:r>
          </w:p>
        </w:tc>
        <w:tc>
          <w:tcPr>
            <w:tcW w:w="500" w:type="pct"/>
            <w:noWrap/>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17.19%</w:t>
            </w:r>
          </w:p>
        </w:tc>
        <w:tc>
          <w:tcPr>
            <w:tcW w:w="500" w:type="pct"/>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37.50%</w:t>
            </w:r>
          </w:p>
        </w:tc>
        <w:tc>
          <w:tcPr>
            <w:tcW w:w="500" w:type="pct"/>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34.38%</w:t>
            </w:r>
          </w:p>
        </w:tc>
        <w:tc>
          <w:tcPr>
            <w:tcW w:w="500" w:type="pct"/>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6.25%</w:t>
            </w:r>
          </w:p>
        </w:tc>
        <w:tc>
          <w:tcPr>
            <w:tcW w:w="500" w:type="pct"/>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4.69%</w:t>
            </w:r>
          </w:p>
        </w:tc>
        <w:tc>
          <w:tcPr>
            <w:tcW w:w="500" w:type="pct"/>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89.06%</w:t>
            </w:r>
          </w:p>
        </w:tc>
        <w:tc>
          <w:tcPr>
            <w:tcW w:w="500" w:type="pct"/>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3.56</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28" w:type="dxa"/>
            <w:bottom w:w="0" w:type="dxa"/>
            <w:right w:w="28" w:type="dxa"/>
          </w:tblCellMar>
        </w:tblPrEx>
        <w:trPr>
          <w:trHeight w:val="281" w:hRule="atLeast"/>
          <w:jc w:val="center"/>
        </w:trPr>
        <w:tc>
          <w:tcPr>
            <w:tcW w:w="1500" w:type="pct"/>
            <w:shd w:val="clear" w:color="auto" w:fill="D9E2F3" w:themeFill="accent1" w:themeFillTint="33"/>
            <w:noWrap/>
            <w:vAlign w:val="center"/>
          </w:tcPr>
          <w:p>
            <w:pPr>
              <w:spacing w:before="0"/>
              <w:jc w:val="center"/>
              <w:rPr>
                <w:rFonts w:asciiTheme="minorEastAsia" w:hAnsiTheme="minorEastAsia" w:eastAsiaTheme="minorEastAsia" w:cstheme="minorBidi"/>
                <w:b w:val="0"/>
                <w:bCs/>
                <w:color w:val="000000"/>
                <w:sz w:val="21"/>
                <w:szCs w:val="21"/>
              </w:rPr>
            </w:pPr>
            <w:r>
              <w:rPr>
                <w:rFonts w:hint="eastAsia" w:asciiTheme="minorEastAsia" w:hAnsiTheme="minorEastAsia" w:eastAsiaTheme="minorEastAsia" w:cstheme="minorBidi"/>
                <w:b w:val="0"/>
                <w:bCs/>
                <w:color w:val="000000"/>
                <w:sz w:val="21"/>
                <w:szCs w:val="21"/>
              </w:rPr>
              <w:t>建筑电气与智能化</w:t>
            </w:r>
          </w:p>
        </w:tc>
        <w:tc>
          <w:tcPr>
            <w:tcW w:w="500" w:type="pct"/>
            <w:shd w:val="clear" w:color="auto" w:fill="D9E2F3" w:themeFill="accent1" w:themeFillTint="33"/>
            <w:noWrap/>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12.90%</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38.71%</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35.48%</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12.90%</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0.00%</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87.10%</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3.52</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28" w:type="dxa"/>
            <w:bottom w:w="0" w:type="dxa"/>
            <w:right w:w="28" w:type="dxa"/>
          </w:tblCellMar>
        </w:tblPrEx>
        <w:trPr>
          <w:trHeight w:val="281" w:hRule="atLeast"/>
          <w:jc w:val="center"/>
        </w:trPr>
        <w:tc>
          <w:tcPr>
            <w:tcW w:w="1500" w:type="pct"/>
            <w:noWrap/>
            <w:vAlign w:val="center"/>
          </w:tcPr>
          <w:p>
            <w:pPr>
              <w:spacing w:before="0"/>
              <w:jc w:val="center"/>
              <w:rPr>
                <w:rFonts w:asciiTheme="minorEastAsia" w:hAnsiTheme="minorEastAsia" w:eastAsiaTheme="minorEastAsia" w:cstheme="minorBidi"/>
                <w:b w:val="0"/>
                <w:bCs/>
                <w:color w:val="000000"/>
                <w:sz w:val="21"/>
                <w:szCs w:val="21"/>
              </w:rPr>
            </w:pPr>
            <w:r>
              <w:rPr>
                <w:rFonts w:hint="eastAsia" w:asciiTheme="minorEastAsia" w:hAnsiTheme="minorEastAsia" w:eastAsiaTheme="minorEastAsia" w:cstheme="minorBidi"/>
                <w:b w:val="0"/>
                <w:bCs/>
                <w:color w:val="000000"/>
                <w:sz w:val="21"/>
                <w:szCs w:val="21"/>
              </w:rPr>
              <w:t>金融工程</w:t>
            </w:r>
          </w:p>
        </w:tc>
        <w:tc>
          <w:tcPr>
            <w:tcW w:w="500" w:type="pct"/>
            <w:noWrap/>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27.78%</w:t>
            </w:r>
          </w:p>
        </w:tc>
        <w:tc>
          <w:tcPr>
            <w:tcW w:w="500" w:type="pct"/>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27.78%</w:t>
            </w:r>
          </w:p>
        </w:tc>
        <w:tc>
          <w:tcPr>
            <w:tcW w:w="500" w:type="pct"/>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22.22%</w:t>
            </w:r>
          </w:p>
        </w:tc>
        <w:tc>
          <w:tcPr>
            <w:tcW w:w="500" w:type="pct"/>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11.11%</w:t>
            </w:r>
          </w:p>
        </w:tc>
        <w:tc>
          <w:tcPr>
            <w:tcW w:w="500" w:type="pct"/>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11.11%</w:t>
            </w:r>
          </w:p>
        </w:tc>
        <w:tc>
          <w:tcPr>
            <w:tcW w:w="500" w:type="pct"/>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77.78%</w:t>
            </w:r>
          </w:p>
        </w:tc>
        <w:tc>
          <w:tcPr>
            <w:tcW w:w="500" w:type="pct"/>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3.50</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28" w:type="dxa"/>
            <w:bottom w:w="0" w:type="dxa"/>
            <w:right w:w="28" w:type="dxa"/>
          </w:tblCellMar>
        </w:tblPrEx>
        <w:trPr>
          <w:trHeight w:val="281" w:hRule="atLeast"/>
          <w:jc w:val="center"/>
        </w:trPr>
        <w:tc>
          <w:tcPr>
            <w:tcW w:w="1500" w:type="pct"/>
            <w:shd w:val="clear" w:color="auto" w:fill="D9E2F3" w:themeFill="accent1" w:themeFillTint="33"/>
            <w:noWrap/>
            <w:vAlign w:val="center"/>
          </w:tcPr>
          <w:p>
            <w:pPr>
              <w:spacing w:before="0"/>
              <w:jc w:val="center"/>
              <w:rPr>
                <w:rFonts w:asciiTheme="minorEastAsia" w:hAnsiTheme="minorEastAsia" w:eastAsiaTheme="minorEastAsia" w:cstheme="minorBidi"/>
                <w:b w:val="0"/>
                <w:bCs/>
                <w:color w:val="000000"/>
                <w:sz w:val="21"/>
                <w:szCs w:val="21"/>
              </w:rPr>
            </w:pPr>
            <w:r>
              <w:rPr>
                <w:rFonts w:hint="eastAsia" w:asciiTheme="minorEastAsia" w:hAnsiTheme="minorEastAsia" w:eastAsiaTheme="minorEastAsia" w:cstheme="minorBidi"/>
                <w:b w:val="0"/>
                <w:bCs/>
                <w:color w:val="000000"/>
                <w:sz w:val="21"/>
                <w:szCs w:val="21"/>
              </w:rPr>
              <w:t>财务管理</w:t>
            </w:r>
          </w:p>
        </w:tc>
        <w:tc>
          <w:tcPr>
            <w:tcW w:w="500" w:type="pct"/>
            <w:shd w:val="clear" w:color="auto" w:fill="D9E2F3" w:themeFill="accent1" w:themeFillTint="33"/>
            <w:noWrap/>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21.05%</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36.84%</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21.05%</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8.77%</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12.28%</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78.95%</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3.46</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28" w:type="dxa"/>
            <w:bottom w:w="0" w:type="dxa"/>
            <w:right w:w="28" w:type="dxa"/>
          </w:tblCellMar>
        </w:tblPrEx>
        <w:trPr>
          <w:trHeight w:val="281" w:hRule="atLeast"/>
          <w:jc w:val="center"/>
        </w:trPr>
        <w:tc>
          <w:tcPr>
            <w:tcW w:w="1500" w:type="pct"/>
            <w:noWrap/>
            <w:vAlign w:val="center"/>
          </w:tcPr>
          <w:p>
            <w:pPr>
              <w:spacing w:before="0"/>
              <w:jc w:val="center"/>
              <w:rPr>
                <w:rFonts w:asciiTheme="minorEastAsia" w:hAnsiTheme="minorEastAsia" w:eastAsiaTheme="minorEastAsia" w:cstheme="minorBidi"/>
                <w:b w:val="0"/>
                <w:bCs/>
                <w:color w:val="000000"/>
                <w:sz w:val="21"/>
                <w:szCs w:val="21"/>
              </w:rPr>
            </w:pPr>
            <w:r>
              <w:rPr>
                <w:rFonts w:hint="eastAsia" w:asciiTheme="minorEastAsia" w:hAnsiTheme="minorEastAsia" w:eastAsiaTheme="minorEastAsia" w:cstheme="minorBidi"/>
                <w:b w:val="0"/>
                <w:bCs/>
                <w:color w:val="000000"/>
                <w:sz w:val="21"/>
                <w:szCs w:val="21"/>
              </w:rPr>
              <w:t>法学</w:t>
            </w:r>
          </w:p>
        </w:tc>
        <w:tc>
          <w:tcPr>
            <w:tcW w:w="500" w:type="pct"/>
            <w:noWrap/>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17.24%</w:t>
            </w:r>
          </w:p>
        </w:tc>
        <w:tc>
          <w:tcPr>
            <w:tcW w:w="500" w:type="pct"/>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41.38%</w:t>
            </w:r>
          </w:p>
        </w:tc>
        <w:tc>
          <w:tcPr>
            <w:tcW w:w="500" w:type="pct"/>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17.24%</w:t>
            </w:r>
          </w:p>
        </w:tc>
        <w:tc>
          <w:tcPr>
            <w:tcW w:w="500" w:type="pct"/>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10.34%</w:t>
            </w:r>
          </w:p>
        </w:tc>
        <w:tc>
          <w:tcPr>
            <w:tcW w:w="500" w:type="pct"/>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13.79%</w:t>
            </w:r>
          </w:p>
        </w:tc>
        <w:tc>
          <w:tcPr>
            <w:tcW w:w="500" w:type="pct"/>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75.86%</w:t>
            </w:r>
          </w:p>
        </w:tc>
        <w:tc>
          <w:tcPr>
            <w:tcW w:w="500" w:type="pct"/>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3.38</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28" w:type="dxa"/>
            <w:bottom w:w="0" w:type="dxa"/>
            <w:right w:w="28" w:type="dxa"/>
          </w:tblCellMar>
        </w:tblPrEx>
        <w:trPr>
          <w:trHeight w:val="281" w:hRule="atLeast"/>
          <w:jc w:val="center"/>
        </w:trPr>
        <w:tc>
          <w:tcPr>
            <w:tcW w:w="1500" w:type="pct"/>
            <w:shd w:val="clear" w:color="auto" w:fill="D9E2F3" w:themeFill="accent1" w:themeFillTint="33"/>
            <w:noWrap/>
            <w:vAlign w:val="center"/>
          </w:tcPr>
          <w:p>
            <w:pPr>
              <w:spacing w:before="0"/>
              <w:jc w:val="center"/>
              <w:rPr>
                <w:rFonts w:asciiTheme="minorEastAsia" w:hAnsiTheme="minorEastAsia" w:eastAsiaTheme="minorEastAsia" w:cstheme="minorBidi"/>
                <w:b w:val="0"/>
                <w:bCs/>
                <w:color w:val="000000"/>
                <w:sz w:val="21"/>
                <w:szCs w:val="21"/>
              </w:rPr>
            </w:pPr>
            <w:r>
              <w:rPr>
                <w:rFonts w:hint="eastAsia" w:asciiTheme="minorEastAsia" w:hAnsiTheme="minorEastAsia" w:eastAsiaTheme="minorEastAsia" w:cstheme="minorBidi"/>
                <w:b w:val="0"/>
                <w:bCs/>
                <w:color w:val="000000"/>
                <w:sz w:val="21"/>
                <w:szCs w:val="21"/>
              </w:rPr>
              <w:t>动物科学</w:t>
            </w:r>
          </w:p>
        </w:tc>
        <w:tc>
          <w:tcPr>
            <w:tcW w:w="500" w:type="pct"/>
            <w:shd w:val="clear" w:color="auto" w:fill="D9E2F3" w:themeFill="accent1" w:themeFillTint="33"/>
            <w:noWrap/>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18.00%</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32.00%</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24.00%</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18.00%</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8.00%</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74.00%</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3.34</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28" w:type="dxa"/>
            <w:bottom w:w="0" w:type="dxa"/>
            <w:right w:w="28" w:type="dxa"/>
          </w:tblCellMar>
        </w:tblPrEx>
        <w:trPr>
          <w:trHeight w:val="281" w:hRule="atLeast"/>
          <w:jc w:val="center"/>
        </w:trPr>
        <w:tc>
          <w:tcPr>
            <w:tcW w:w="1500" w:type="pct"/>
            <w:noWrap/>
            <w:vAlign w:val="center"/>
          </w:tcPr>
          <w:p>
            <w:pPr>
              <w:spacing w:before="0"/>
              <w:jc w:val="center"/>
              <w:rPr>
                <w:rFonts w:asciiTheme="minorEastAsia" w:hAnsiTheme="minorEastAsia" w:eastAsiaTheme="minorEastAsia" w:cstheme="minorBidi"/>
                <w:b w:val="0"/>
                <w:bCs/>
                <w:color w:val="000000"/>
                <w:sz w:val="21"/>
                <w:szCs w:val="21"/>
              </w:rPr>
            </w:pPr>
            <w:r>
              <w:rPr>
                <w:rFonts w:hint="eastAsia" w:asciiTheme="minorEastAsia" w:hAnsiTheme="minorEastAsia" w:eastAsiaTheme="minorEastAsia" w:cstheme="minorBidi"/>
                <w:b w:val="0"/>
                <w:bCs/>
                <w:color w:val="000000"/>
                <w:sz w:val="21"/>
                <w:szCs w:val="21"/>
              </w:rPr>
              <w:t>化学工程与工艺</w:t>
            </w:r>
          </w:p>
        </w:tc>
        <w:tc>
          <w:tcPr>
            <w:tcW w:w="500" w:type="pct"/>
            <w:noWrap/>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0.00%</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50.00%</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33.33%</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8.33%</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8.33%</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83.33%</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3.25</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28" w:type="dxa"/>
            <w:bottom w:w="0" w:type="dxa"/>
            <w:right w:w="28" w:type="dxa"/>
          </w:tblCellMar>
        </w:tblPrEx>
        <w:trPr>
          <w:trHeight w:val="281" w:hRule="atLeast"/>
          <w:jc w:val="center"/>
        </w:trPr>
        <w:tc>
          <w:tcPr>
            <w:tcW w:w="1500" w:type="pct"/>
            <w:shd w:val="clear" w:color="auto" w:fill="D9E2F3" w:themeFill="accent1" w:themeFillTint="33"/>
            <w:noWrap/>
            <w:vAlign w:val="center"/>
          </w:tcPr>
          <w:p>
            <w:pPr>
              <w:spacing w:before="0"/>
              <w:jc w:val="center"/>
              <w:rPr>
                <w:rFonts w:asciiTheme="minorEastAsia" w:hAnsiTheme="minorEastAsia" w:eastAsiaTheme="minorEastAsia" w:cstheme="minorBidi"/>
                <w:b w:val="0"/>
                <w:bCs/>
                <w:color w:val="000000"/>
                <w:sz w:val="21"/>
                <w:szCs w:val="21"/>
              </w:rPr>
            </w:pPr>
            <w:r>
              <w:rPr>
                <w:rFonts w:hint="eastAsia" w:asciiTheme="minorEastAsia" w:hAnsiTheme="minorEastAsia" w:eastAsiaTheme="minorEastAsia" w:cstheme="minorBidi"/>
                <w:b w:val="0"/>
                <w:bCs/>
                <w:color w:val="000000"/>
                <w:sz w:val="21"/>
                <w:szCs w:val="21"/>
              </w:rPr>
              <w:t>材料科学与工程</w:t>
            </w:r>
          </w:p>
        </w:tc>
        <w:tc>
          <w:tcPr>
            <w:tcW w:w="500" w:type="pct"/>
            <w:shd w:val="clear" w:color="auto" w:fill="D9E2F3" w:themeFill="accent1" w:themeFillTint="33"/>
            <w:noWrap/>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15.38%</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38.46%</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23.08%</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0.00%</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23.08%</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76.92%</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3.23</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28" w:type="dxa"/>
            <w:bottom w:w="0" w:type="dxa"/>
            <w:right w:w="28" w:type="dxa"/>
          </w:tblCellMar>
        </w:tblPrEx>
        <w:trPr>
          <w:trHeight w:val="281" w:hRule="atLeast"/>
          <w:jc w:val="center"/>
        </w:trPr>
        <w:tc>
          <w:tcPr>
            <w:tcW w:w="1500" w:type="pct"/>
            <w:noWrap/>
            <w:vAlign w:val="center"/>
          </w:tcPr>
          <w:p>
            <w:pPr>
              <w:spacing w:before="0"/>
              <w:jc w:val="center"/>
              <w:rPr>
                <w:rFonts w:asciiTheme="minorEastAsia" w:hAnsiTheme="minorEastAsia" w:eastAsiaTheme="minorEastAsia" w:cstheme="minorBidi"/>
                <w:b w:val="0"/>
                <w:bCs/>
                <w:color w:val="000000"/>
                <w:sz w:val="21"/>
                <w:szCs w:val="21"/>
              </w:rPr>
            </w:pPr>
            <w:r>
              <w:rPr>
                <w:rFonts w:hint="eastAsia" w:asciiTheme="minorEastAsia" w:hAnsiTheme="minorEastAsia" w:eastAsiaTheme="minorEastAsia" w:cstheme="minorBidi"/>
                <w:b w:val="0"/>
                <w:bCs/>
                <w:color w:val="000000"/>
                <w:sz w:val="21"/>
                <w:szCs w:val="21"/>
              </w:rPr>
              <w:t>高分子材料与工程</w:t>
            </w:r>
          </w:p>
        </w:tc>
        <w:tc>
          <w:tcPr>
            <w:tcW w:w="500" w:type="pct"/>
            <w:noWrap/>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9.09%</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31.82%</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31.82%</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22.73%</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4.55%</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72.73%</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3.18</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28" w:type="dxa"/>
            <w:bottom w:w="0" w:type="dxa"/>
            <w:right w:w="28" w:type="dxa"/>
          </w:tblCellMar>
        </w:tblPrEx>
        <w:trPr>
          <w:trHeight w:val="281" w:hRule="atLeast"/>
          <w:jc w:val="center"/>
        </w:trPr>
        <w:tc>
          <w:tcPr>
            <w:tcW w:w="1500" w:type="pct"/>
            <w:shd w:val="clear" w:color="auto" w:fill="D9E2F3" w:themeFill="accent1" w:themeFillTint="33"/>
            <w:noWrap/>
            <w:vAlign w:val="center"/>
          </w:tcPr>
          <w:p>
            <w:pPr>
              <w:spacing w:before="0"/>
              <w:jc w:val="center"/>
              <w:rPr>
                <w:rFonts w:asciiTheme="minorEastAsia" w:hAnsiTheme="minorEastAsia" w:eastAsiaTheme="minorEastAsia" w:cstheme="minorBidi"/>
                <w:b w:val="0"/>
                <w:bCs/>
                <w:color w:val="000000"/>
                <w:sz w:val="21"/>
                <w:szCs w:val="21"/>
              </w:rPr>
            </w:pPr>
            <w:r>
              <w:rPr>
                <w:rFonts w:hint="eastAsia" w:asciiTheme="minorEastAsia" w:hAnsiTheme="minorEastAsia" w:eastAsiaTheme="minorEastAsia" w:cstheme="minorBidi"/>
                <w:b w:val="0"/>
                <w:bCs/>
                <w:color w:val="000000"/>
                <w:sz w:val="21"/>
                <w:szCs w:val="21"/>
              </w:rPr>
              <w:t>经济统计学</w:t>
            </w:r>
          </w:p>
        </w:tc>
        <w:tc>
          <w:tcPr>
            <w:tcW w:w="500" w:type="pct"/>
            <w:shd w:val="clear" w:color="auto" w:fill="D9E2F3" w:themeFill="accent1" w:themeFillTint="33"/>
            <w:noWrap/>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8.33%</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16.67%</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66.67%</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0.00%</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8.33%</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91.67%</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3.17</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28" w:type="dxa"/>
            <w:bottom w:w="0" w:type="dxa"/>
            <w:right w:w="28" w:type="dxa"/>
          </w:tblCellMar>
        </w:tblPrEx>
        <w:trPr>
          <w:trHeight w:val="281" w:hRule="atLeast"/>
          <w:jc w:val="center"/>
        </w:trPr>
        <w:tc>
          <w:tcPr>
            <w:tcW w:w="1500" w:type="pct"/>
            <w:noWrap/>
            <w:vAlign w:val="center"/>
          </w:tcPr>
          <w:p>
            <w:pPr>
              <w:spacing w:before="0"/>
              <w:jc w:val="center"/>
              <w:rPr>
                <w:rFonts w:asciiTheme="minorEastAsia" w:hAnsiTheme="minorEastAsia" w:eastAsiaTheme="minorEastAsia" w:cstheme="minorBidi"/>
                <w:b w:val="0"/>
                <w:bCs/>
                <w:color w:val="000000"/>
                <w:sz w:val="21"/>
                <w:szCs w:val="21"/>
              </w:rPr>
            </w:pPr>
            <w:r>
              <w:rPr>
                <w:rFonts w:hint="eastAsia" w:asciiTheme="minorEastAsia" w:hAnsiTheme="minorEastAsia" w:eastAsiaTheme="minorEastAsia" w:cstheme="minorBidi"/>
                <w:b w:val="0"/>
                <w:bCs/>
                <w:color w:val="000000"/>
                <w:sz w:val="21"/>
                <w:szCs w:val="21"/>
              </w:rPr>
              <w:t>市场营销</w:t>
            </w:r>
          </w:p>
        </w:tc>
        <w:tc>
          <w:tcPr>
            <w:tcW w:w="500" w:type="pct"/>
            <w:noWrap/>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0.00%</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36.36%</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45.45%</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13.64%</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4.55%</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81.82%</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3.14</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28" w:type="dxa"/>
            <w:bottom w:w="0" w:type="dxa"/>
            <w:right w:w="28" w:type="dxa"/>
          </w:tblCellMar>
        </w:tblPrEx>
        <w:trPr>
          <w:trHeight w:val="281" w:hRule="atLeast"/>
          <w:jc w:val="center"/>
        </w:trPr>
        <w:tc>
          <w:tcPr>
            <w:tcW w:w="1500" w:type="pct"/>
            <w:shd w:val="clear" w:color="auto" w:fill="D9E2F3" w:themeFill="accent1" w:themeFillTint="33"/>
            <w:noWrap/>
            <w:vAlign w:val="center"/>
          </w:tcPr>
          <w:p>
            <w:pPr>
              <w:spacing w:before="0"/>
              <w:jc w:val="center"/>
              <w:rPr>
                <w:rFonts w:asciiTheme="minorEastAsia" w:hAnsiTheme="minorEastAsia" w:eastAsiaTheme="minorEastAsia" w:cstheme="minorBidi"/>
                <w:b w:val="0"/>
                <w:bCs/>
                <w:color w:val="000000"/>
                <w:sz w:val="21"/>
                <w:szCs w:val="21"/>
              </w:rPr>
            </w:pPr>
            <w:r>
              <w:rPr>
                <w:rFonts w:hint="eastAsia" w:asciiTheme="minorEastAsia" w:hAnsiTheme="minorEastAsia" w:eastAsiaTheme="minorEastAsia" w:cstheme="minorBidi"/>
                <w:b w:val="0"/>
                <w:bCs/>
                <w:color w:val="000000"/>
                <w:sz w:val="21"/>
                <w:szCs w:val="21"/>
              </w:rPr>
              <w:t>视觉传达设计</w:t>
            </w:r>
          </w:p>
        </w:tc>
        <w:tc>
          <w:tcPr>
            <w:tcW w:w="500" w:type="pct"/>
            <w:shd w:val="clear" w:color="auto" w:fill="D9E2F3" w:themeFill="accent1" w:themeFillTint="33"/>
            <w:noWrap/>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12.50%</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37.50%</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25.00%</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0.00%</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25.00%</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75.00%</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3.13</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28" w:type="dxa"/>
            <w:bottom w:w="0" w:type="dxa"/>
            <w:right w:w="28" w:type="dxa"/>
          </w:tblCellMar>
        </w:tblPrEx>
        <w:trPr>
          <w:trHeight w:val="281" w:hRule="atLeast"/>
          <w:jc w:val="center"/>
        </w:trPr>
        <w:tc>
          <w:tcPr>
            <w:tcW w:w="1500" w:type="pct"/>
            <w:noWrap/>
            <w:vAlign w:val="center"/>
          </w:tcPr>
          <w:p>
            <w:pPr>
              <w:spacing w:before="0"/>
              <w:jc w:val="center"/>
              <w:rPr>
                <w:rFonts w:asciiTheme="minorEastAsia" w:hAnsiTheme="minorEastAsia" w:eastAsiaTheme="minorEastAsia" w:cstheme="minorBidi"/>
                <w:b w:val="0"/>
                <w:bCs/>
                <w:color w:val="000000"/>
                <w:sz w:val="21"/>
                <w:szCs w:val="21"/>
              </w:rPr>
            </w:pPr>
            <w:r>
              <w:rPr>
                <w:rFonts w:hint="eastAsia" w:asciiTheme="minorEastAsia" w:hAnsiTheme="minorEastAsia" w:eastAsiaTheme="minorEastAsia" w:cstheme="minorBidi"/>
                <w:b w:val="0"/>
                <w:bCs/>
                <w:color w:val="000000"/>
                <w:sz w:val="21"/>
                <w:szCs w:val="21"/>
              </w:rPr>
              <w:t>网络与新媒体</w:t>
            </w:r>
          </w:p>
        </w:tc>
        <w:tc>
          <w:tcPr>
            <w:tcW w:w="500" w:type="pct"/>
            <w:noWrap/>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18.18%</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27.27%</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27.27%</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0.00%</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27.27%</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72.73%</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3.09</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28" w:type="dxa"/>
            <w:bottom w:w="0" w:type="dxa"/>
            <w:right w:w="28" w:type="dxa"/>
          </w:tblCellMar>
        </w:tblPrEx>
        <w:trPr>
          <w:trHeight w:val="281" w:hRule="atLeast"/>
          <w:jc w:val="center"/>
        </w:trPr>
        <w:tc>
          <w:tcPr>
            <w:tcW w:w="1500" w:type="pct"/>
            <w:shd w:val="clear" w:color="auto" w:fill="D9E2F3" w:themeFill="accent1" w:themeFillTint="33"/>
            <w:noWrap/>
            <w:vAlign w:val="center"/>
          </w:tcPr>
          <w:p>
            <w:pPr>
              <w:spacing w:before="0"/>
              <w:jc w:val="center"/>
              <w:rPr>
                <w:rFonts w:asciiTheme="minorEastAsia" w:hAnsiTheme="minorEastAsia" w:eastAsiaTheme="minorEastAsia" w:cstheme="minorBidi"/>
                <w:b w:val="0"/>
                <w:bCs/>
                <w:color w:val="000000"/>
                <w:sz w:val="21"/>
                <w:szCs w:val="21"/>
              </w:rPr>
            </w:pPr>
            <w:r>
              <w:rPr>
                <w:rFonts w:hint="eastAsia" w:asciiTheme="minorEastAsia" w:hAnsiTheme="minorEastAsia" w:eastAsiaTheme="minorEastAsia" w:cstheme="minorBidi"/>
                <w:b w:val="0"/>
                <w:bCs/>
                <w:color w:val="000000"/>
                <w:sz w:val="21"/>
                <w:szCs w:val="21"/>
              </w:rPr>
              <w:t>机械设计制造及其自动化</w:t>
            </w:r>
          </w:p>
        </w:tc>
        <w:tc>
          <w:tcPr>
            <w:tcW w:w="500" w:type="pct"/>
            <w:shd w:val="clear" w:color="auto" w:fill="D9E2F3" w:themeFill="accent1" w:themeFillTint="33"/>
            <w:noWrap/>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5.66%</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33.96%</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35.85%</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11.32%</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13.21%</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75.47%</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3.08</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28" w:type="dxa"/>
            <w:bottom w:w="0" w:type="dxa"/>
            <w:right w:w="28" w:type="dxa"/>
          </w:tblCellMar>
        </w:tblPrEx>
        <w:trPr>
          <w:trHeight w:val="281" w:hRule="atLeast"/>
          <w:jc w:val="center"/>
        </w:trPr>
        <w:tc>
          <w:tcPr>
            <w:tcW w:w="1500" w:type="pct"/>
            <w:noWrap/>
            <w:vAlign w:val="center"/>
          </w:tcPr>
          <w:p>
            <w:pPr>
              <w:spacing w:before="0"/>
              <w:jc w:val="center"/>
              <w:rPr>
                <w:rFonts w:asciiTheme="minorEastAsia" w:hAnsiTheme="minorEastAsia" w:eastAsiaTheme="minorEastAsia" w:cstheme="minorBidi"/>
                <w:b w:val="0"/>
                <w:bCs/>
                <w:color w:val="000000"/>
                <w:sz w:val="21"/>
                <w:szCs w:val="21"/>
              </w:rPr>
            </w:pPr>
            <w:r>
              <w:rPr>
                <w:rFonts w:hint="eastAsia" w:asciiTheme="minorEastAsia" w:hAnsiTheme="minorEastAsia" w:eastAsiaTheme="minorEastAsia" w:cstheme="minorBidi"/>
                <w:b w:val="0"/>
                <w:bCs/>
                <w:color w:val="000000"/>
                <w:sz w:val="21"/>
                <w:szCs w:val="21"/>
              </w:rPr>
              <w:t>服装与服饰设计</w:t>
            </w:r>
          </w:p>
        </w:tc>
        <w:tc>
          <w:tcPr>
            <w:tcW w:w="500" w:type="pct"/>
            <w:noWrap/>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21.43%</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21.43%</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21.43%</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14.29%</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21.43%</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64.29%</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3.07</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28" w:type="dxa"/>
            <w:bottom w:w="0" w:type="dxa"/>
            <w:right w:w="28" w:type="dxa"/>
          </w:tblCellMar>
        </w:tblPrEx>
        <w:trPr>
          <w:trHeight w:val="281" w:hRule="atLeast"/>
          <w:jc w:val="center"/>
        </w:trPr>
        <w:tc>
          <w:tcPr>
            <w:tcW w:w="1500" w:type="pct"/>
            <w:shd w:val="clear" w:color="auto" w:fill="D9E2F3" w:themeFill="accent1" w:themeFillTint="33"/>
            <w:noWrap/>
            <w:vAlign w:val="center"/>
          </w:tcPr>
          <w:p>
            <w:pPr>
              <w:spacing w:before="0"/>
              <w:jc w:val="center"/>
              <w:rPr>
                <w:rFonts w:asciiTheme="minorEastAsia" w:hAnsiTheme="minorEastAsia" w:eastAsiaTheme="minorEastAsia" w:cstheme="minorBidi"/>
                <w:b w:val="0"/>
                <w:bCs/>
                <w:color w:val="000000"/>
                <w:sz w:val="21"/>
                <w:szCs w:val="21"/>
              </w:rPr>
            </w:pPr>
            <w:r>
              <w:rPr>
                <w:rFonts w:hint="eastAsia" w:asciiTheme="minorEastAsia" w:hAnsiTheme="minorEastAsia" w:eastAsiaTheme="minorEastAsia" w:cstheme="minorBidi"/>
                <w:b w:val="0"/>
                <w:bCs/>
                <w:color w:val="000000"/>
                <w:sz w:val="21"/>
                <w:szCs w:val="21"/>
              </w:rPr>
              <w:t>电子信息工程</w:t>
            </w:r>
          </w:p>
        </w:tc>
        <w:tc>
          <w:tcPr>
            <w:tcW w:w="500" w:type="pct"/>
            <w:shd w:val="clear" w:color="auto" w:fill="D9E2F3" w:themeFill="accent1" w:themeFillTint="33"/>
            <w:noWrap/>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2.44%</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34.15%</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34.15%</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12.20%</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17.07%</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70.73%</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2.93</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28" w:type="dxa"/>
            <w:bottom w:w="0" w:type="dxa"/>
            <w:right w:w="28" w:type="dxa"/>
          </w:tblCellMar>
        </w:tblPrEx>
        <w:trPr>
          <w:trHeight w:val="281" w:hRule="atLeast"/>
          <w:jc w:val="center"/>
        </w:trPr>
        <w:tc>
          <w:tcPr>
            <w:tcW w:w="1500" w:type="pct"/>
            <w:noWrap/>
            <w:vAlign w:val="center"/>
          </w:tcPr>
          <w:p>
            <w:pPr>
              <w:spacing w:before="0"/>
              <w:jc w:val="center"/>
              <w:rPr>
                <w:rFonts w:asciiTheme="minorEastAsia" w:hAnsiTheme="minorEastAsia" w:eastAsiaTheme="minorEastAsia" w:cstheme="minorBidi"/>
                <w:b w:val="0"/>
                <w:bCs/>
                <w:color w:val="000000"/>
                <w:sz w:val="21"/>
                <w:szCs w:val="21"/>
              </w:rPr>
            </w:pPr>
            <w:r>
              <w:rPr>
                <w:rFonts w:hint="eastAsia" w:asciiTheme="minorEastAsia" w:hAnsiTheme="minorEastAsia" w:eastAsiaTheme="minorEastAsia" w:cstheme="minorBidi"/>
                <w:b w:val="0"/>
                <w:bCs/>
                <w:color w:val="000000"/>
                <w:sz w:val="21"/>
                <w:szCs w:val="21"/>
              </w:rPr>
              <w:t>通信工程</w:t>
            </w:r>
          </w:p>
        </w:tc>
        <w:tc>
          <w:tcPr>
            <w:tcW w:w="500" w:type="pct"/>
            <w:noWrap/>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10.42%</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14.58%</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41.67%</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18.75%</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14.58%</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66.67%</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2.88</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28" w:type="dxa"/>
            <w:bottom w:w="0" w:type="dxa"/>
            <w:right w:w="28" w:type="dxa"/>
          </w:tblCellMar>
        </w:tblPrEx>
        <w:trPr>
          <w:trHeight w:val="281" w:hRule="atLeast"/>
          <w:jc w:val="center"/>
        </w:trPr>
        <w:tc>
          <w:tcPr>
            <w:tcW w:w="1500" w:type="pct"/>
            <w:shd w:val="clear" w:color="auto" w:fill="D9E2F3" w:themeFill="accent1" w:themeFillTint="33"/>
            <w:noWrap/>
            <w:vAlign w:val="center"/>
          </w:tcPr>
          <w:p>
            <w:pPr>
              <w:spacing w:before="0"/>
              <w:jc w:val="center"/>
              <w:rPr>
                <w:rFonts w:asciiTheme="minorEastAsia" w:hAnsiTheme="minorEastAsia" w:eastAsiaTheme="minorEastAsia" w:cstheme="minorBidi"/>
                <w:b w:val="0"/>
                <w:bCs/>
                <w:color w:val="000000"/>
                <w:sz w:val="21"/>
                <w:szCs w:val="21"/>
              </w:rPr>
            </w:pPr>
            <w:r>
              <w:rPr>
                <w:rFonts w:hint="eastAsia" w:asciiTheme="minorEastAsia" w:hAnsiTheme="minorEastAsia" w:eastAsiaTheme="minorEastAsia" w:cstheme="minorBidi"/>
                <w:b w:val="0"/>
                <w:bCs/>
                <w:color w:val="000000"/>
                <w:sz w:val="21"/>
                <w:szCs w:val="21"/>
              </w:rPr>
              <w:t>电子信息科学与技术</w:t>
            </w:r>
          </w:p>
        </w:tc>
        <w:tc>
          <w:tcPr>
            <w:tcW w:w="500" w:type="pct"/>
            <w:shd w:val="clear" w:color="auto" w:fill="D9E2F3" w:themeFill="accent1" w:themeFillTint="33"/>
            <w:noWrap/>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3.13%</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34.38%</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21.88%</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28.13%</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12.50%</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59.38%</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2.88</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28" w:type="dxa"/>
            <w:bottom w:w="0" w:type="dxa"/>
            <w:right w:w="28" w:type="dxa"/>
          </w:tblCellMar>
        </w:tblPrEx>
        <w:trPr>
          <w:trHeight w:val="281" w:hRule="atLeast"/>
          <w:jc w:val="center"/>
        </w:trPr>
        <w:tc>
          <w:tcPr>
            <w:tcW w:w="1500" w:type="pct"/>
            <w:noWrap/>
            <w:vAlign w:val="center"/>
          </w:tcPr>
          <w:p>
            <w:pPr>
              <w:spacing w:before="0"/>
              <w:jc w:val="center"/>
              <w:rPr>
                <w:rFonts w:asciiTheme="minorEastAsia" w:hAnsiTheme="minorEastAsia" w:eastAsiaTheme="minorEastAsia" w:cstheme="minorBidi"/>
                <w:b w:val="0"/>
                <w:bCs/>
                <w:color w:val="000000"/>
                <w:sz w:val="21"/>
                <w:szCs w:val="21"/>
              </w:rPr>
            </w:pPr>
            <w:r>
              <w:rPr>
                <w:rFonts w:hint="eastAsia" w:asciiTheme="minorEastAsia" w:hAnsiTheme="minorEastAsia" w:eastAsiaTheme="minorEastAsia" w:cstheme="minorBidi"/>
                <w:b w:val="0"/>
                <w:bCs/>
                <w:color w:val="000000"/>
                <w:sz w:val="21"/>
                <w:szCs w:val="21"/>
              </w:rPr>
              <w:t>光源与照明</w:t>
            </w:r>
          </w:p>
        </w:tc>
        <w:tc>
          <w:tcPr>
            <w:tcW w:w="500" w:type="pct"/>
            <w:noWrap/>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9.09%</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27.27%</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27.27%</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13.64%</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22.73%</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63.64%</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2.86</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28" w:type="dxa"/>
            <w:bottom w:w="0" w:type="dxa"/>
            <w:right w:w="28" w:type="dxa"/>
          </w:tblCellMar>
        </w:tblPrEx>
        <w:trPr>
          <w:trHeight w:val="281" w:hRule="atLeast"/>
          <w:jc w:val="center"/>
        </w:trPr>
        <w:tc>
          <w:tcPr>
            <w:tcW w:w="1500" w:type="pct"/>
            <w:shd w:val="clear" w:color="auto" w:fill="D9E2F3" w:themeFill="accent1" w:themeFillTint="33"/>
            <w:noWrap/>
            <w:vAlign w:val="center"/>
          </w:tcPr>
          <w:p>
            <w:pPr>
              <w:spacing w:before="0"/>
              <w:jc w:val="center"/>
              <w:rPr>
                <w:rFonts w:asciiTheme="minorEastAsia" w:hAnsiTheme="minorEastAsia" w:eastAsiaTheme="minorEastAsia" w:cstheme="minorBidi"/>
                <w:b w:val="0"/>
                <w:bCs/>
                <w:color w:val="000000"/>
                <w:sz w:val="21"/>
                <w:szCs w:val="21"/>
              </w:rPr>
            </w:pPr>
            <w:r>
              <w:rPr>
                <w:rFonts w:hint="eastAsia" w:asciiTheme="minorEastAsia" w:hAnsiTheme="minorEastAsia" w:eastAsiaTheme="minorEastAsia" w:cstheme="minorBidi"/>
                <w:b w:val="0"/>
                <w:bCs/>
                <w:color w:val="000000"/>
                <w:sz w:val="21"/>
                <w:szCs w:val="21"/>
              </w:rPr>
              <w:t>园林</w:t>
            </w:r>
          </w:p>
        </w:tc>
        <w:tc>
          <w:tcPr>
            <w:tcW w:w="500" w:type="pct"/>
            <w:shd w:val="clear" w:color="auto" w:fill="D9E2F3" w:themeFill="accent1" w:themeFillTint="33"/>
            <w:noWrap/>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9.09%</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31.82%</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22.73%</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4.55%</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31.82%</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63.64%</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2.82</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28" w:type="dxa"/>
            <w:bottom w:w="0" w:type="dxa"/>
            <w:right w:w="28" w:type="dxa"/>
          </w:tblCellMar>
        </w:tblPrEx>
        <w:trPr>
          <w:trHeight w:val="281" w:hRule="atLeast"/>
          <w:jc w:val="center"/>
        </w:trPr>
        <w:tc>
          <w:tcPr>
            <w:tcW w:w="1500" w:type="pct"/>
            <w:noWrap/>
            <w:vAlign w:val="center"/>
          </w:tcPr>
          <w:p>
            <w:pPr>
              <w:spacing w:before="0"/>
              <w:jc w:val="center"/>
              <w:rPr>
                <w:rFonts w:asciiTheme="minorEastAsia" w:hAnsiTheme="minorEastAsia" w:eastAsiaTheme="minorEastAsia" w:cstheme="minorBidi"/>
                <w:b w:val="0"/>
                <w:bCs/>
                <w:color w:val="000000"/>
                <w:sz w:val="21"/>
                <w:szCs w:val="21"/>
              </w:rPr>
            </w:pPr>
            <w:r>
              <w:rPr>
                <w:rFonts w:hint="eastAsia" w:asciiTheme="minorEastAsia" w:hAnsiTheme="minorEastAsia" w:eastAsiaTheme="minorEastAsia" w:cstheme="minorBidi"/>
                <w:b w:val="0"/>
                <w:bCs/>
                <w:color w:val="000000"/>
                <w:sz w:val="21"/>
                <w:szCs w:val="21"/>
              </w:rPr>
              <w:t>网络工程</w:t>
            </w:r>
          </w:p>
        </w:tc>
        <w:tc>
          <w:tcPr>
            <w:tcW w:w="500" w:type="pct"/>
            <w:noWrap/>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3.77%</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33.96%</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22.64%</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15.09%</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24.53%</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60.38%</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2.77</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28" w:type="dxa"/>
            <w:bottom w:w="0" w:type="dxa"/>
            <w:right w:w="28" w:type="dxa"/>
          </w:tblCellMar>
        </w:tblPrEx>
        <w:trPr>
          <w:trHeight w:val="281" w:hRule="atLeast"/>
          <w:jc w:val="center"/>
        </w:trPr>
        <w:tc>
          <w:tcPr>
            <w:tcW w:w="1500" w:type="pct"/>
            <w:shd w:val="clear" w:color="auto" w:fill="D9E2F3" w:themeFill="accent1" w:themeFillTint="33"/>
            <w:noWrap/>
            <w:vAlign w:val="center"/>
          </w:tcPr>
          <w:p>
            <w:pPr>
              <w:spacing w:before="0"/>
              <w:jc w:val="center"/>
              <w:rPr>
                <w:rFonts w:asciiTheme="minorEastAsia" w:hAnsiTheme="minorEastAsia" w:eastAsiaTheme="minorEastAsia" w:cstheme="minorBidi"/>
                <w:b w:val="0"/>
                <w:bCs/>
                <w:color w:val="000000"/>
                <w:sz w:val="21"/>
                <w:szCs w:val="21"/>
              </w:rPr>
            </w:pPr>
            <w:r>
              <w:rPr>
                <w:rFonts w:hint="eastAsia" w:asciiTheme="minorEastAsia" w:hAnsiTheme="minorEastAsia" w:eastAsiaTheme="minorEastAsia" w:cstheme="minorBidi"/>
                <w:b w:val="0"/>
                <w:bCs/>
                <w:color w:val="000000"/>
                <w:sz w:val="21"/>
                <w:szCs w:val="21"/>
              </w:rPr>
              <w:t>生物工程</w:t>
            </w:r>
          </w:p>
        </w:tc>
        <w:tc>
          <w:tcPr>
            <w:tcW w:w="500" w:type="pct"/>
            <w:shd w:val="clear" w:color="auto" w:fill="D9E2F3" w:themeFill="accent1" w:themeFillTint="33"/>
            <w:noWrap/>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5.56%</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27.78%</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22.22%</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22.22%</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22.22%</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55.56%</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2.72</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28" w:type="dxa"/>
            <w:bottom w:w="0" w:type="dxa"/>
            <w:right w:w="28" w:type="dxa"/>
          </w:tblCellMar>
        </w:tblPrEx>
        <w:trPr>
          <w:trHeight w:val="281" w:hRule="atLeast"/>
          <w:jc w:val="center"/>
        </w:trPr>
        <w:tc>
          <w:tcPr>
            <w:tcW w:w="1500" w:type="pct"/>
            <w:noWrap/>
            <w:vAlign w:val="center"/>
          </w:tcPr>
          <w:p>
            <w:pPr>
              <w:spacing w:before="0"/>
              <w:jc w:val="center"/>
              <w:rPr>
                <w:rFonts w:asciiTheme="minorEastAsia" w:hAnsiTheme="minorEastAsia" w:eastAsiaTheme="minorEastAsia" w:cstheme="minorBidi"/>
                <w:b w:val="0"/>
                <w:bCs/>
                <w:color w:val="000000"/>
                <w:sz w:val="21"/>
                <w:szCs w:val="21"/>
              </w:rPr>
            </w:pPr>
            <w:r>
              <w:rPr>
                <w:rFonts w:hint="eastAsia" w:asciiTheme="minorEastAsia" w:hAnsiTheme="minorEastAsia" w:eastAsiaTheme="minorEastAsia" w:cstheme="minorBidi"/>
                <w:b w:val="0"/>
                <w:bCs/>
                <w:color w:val="000000"/>
                <w:sz w:val="21"/>
                <w:szCs w:val="21"/>
              </w:rPr>
              <w:t>经济与金融</w:t>
            </w:r>
          </w:p>
        </w:tc>
        <w:tc>
          <w:tcPr>
            <w:tcW w:w="500" w:type="pct"/>
            <w:noWrap/>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0.00%</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19.05%</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47.62%</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19.05%</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14.29%</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66.67%</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2.71</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28" w:type="dxa"/>
            <w:bottom w:w="0" w:type="dxa"/>
            <w:right w:w="28" w:type="dxa"/>
          </w:tblCellMar>
        </w:tblPrEx>
        <w:trPr>
          <w:trHeight w:val="281" w:hRule="atLeast"/>
          <w:jc w:val="center"/>
        </w:trPr>
        <w:tc>
          <w:tcPr>
            <w:tcW w:w="1500" w:type="pct"/>
            <w:shd w:val="clear" w:color="auto" w:fill="D9E2F3" w:themeFill="accent1" w:themeFillTint="33"/>
            <w:noWrap/>
            <w:vAlign w:val="center"/>
          </w:tcPr>
          <w:p>
            <w:pPr>
              <w:spacing w:before="0"/>
              <w:jc w:val="center"/>
              <w:rPr>
                <w:rFonts w:asciiTheme="minorEastAsia" w:hAnsiTheme="minorEastAsia" w:eastAsiaTheme="minorEastAsia" w:cstheme="minorBidi"/>
                <w:b w:val="0"/>
                <w:bCs/>
                <w:color w:val="000000"/>
                <w:sz w:val="21"/>
                <w:szCs w:val="21"/>
              </w:rPr>
            </w:pPr>
            <w:r>
              <w:rPr>
                <w:rFonts w:hint="eastAsia" w:asciiTheme="minorEastAsia" w:hAnsiTheme="minorEastAsia" w:eastAsiaTheme="minorEastAsia" w:cstheme="minorBidi"/>
                <w:b w:val="0"/>
                <w:bCs/>
                <w:color w:val="000000"/>
                <w:sz w:val="21"/>
                <w:szCs w:val="21"/>
              </w:rPr>
              <w:t>物流管理</w:t>
            </w:r>
          </w:p>
        </w:tc>
        <w:tc>
          <w:tcPr>
            <w:tcW w:w="500" w:type="pct"/>
            <w:shd w:val="clear" w:color="auto" w:fill="D9E2F3" w:themeFill="accent1" w:themeFillTint="33"/>
            <w:noWrap/>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9.84%</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19.67%</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24.59%</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21.31%</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24.59%</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54.10%</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2.69</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28" w:type="dxa"/>
            <w:bottom w:w="0" w:type="dxa"/>
            <w:right w:w="28" w:type="dxa"/>
          </w:tblCellMar>
        </w:tblPrEx>
        <w:trPr>
          <w:trHeight w:val="281" w:hRule="atLeast"/>
          <w:jc w:val="center"/>
        </w:trPr>
        <w:tc>
          <w:tcPr>
            <w:tcW w:w="1500" w:type="pct"/>
            <w:noWrap/>
            <w:vAlign w:val="center"/>
          </w:tcPr>
          <w:p>
            <w:pPr>
              <w:spacing w:before="0"/>
              <w:jc w:val="center"/>
              <w:rPr>
                <w:rFonts w:asciiTheme="minorEastAsia" w:hAnsiTheme="minorEastAsia" w:eastAsiaTheme="minorEastAsia" w:cstheme="minorBidi"/>
                <w:b w:val="0"/>
                <w:bCs/>
                <w:color w:val="000000"/>
                <w:sz w:val="21"/>
                <w:szCs w:val="21"/>
              </w:rPr>
            </w:pPr>
            <w:r>
              <w:rPr>
                <w:rFonts w:hint="eastAsia" w:asciiTheme="minorEastAsia" w:hAnsiTheme="minorEastAsia" w:eastAsiaTheme="minorEastAsia" w:cstheme="minorBidi"/>
                <w:b w:val="0"/>
                <w:bCs/>
                <w:color w:val="000000"/>
                <w:sz w:val="21"/>
                <w:szCs w:val="21"/>
              </w:rPr>
              <w:t>食品质量与安全</w:t>
            </w:r>
          </w:p>
        </w:tc>
        <w:tc>
          <w:tcPr>
            <w:tcW w:w="500" w:type="pct"/>
            <w:noWrap/>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12.50%</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8.33%</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29.17%</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20.83%</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29.17%</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50.00%</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2.54</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28" w:type="dxa"/>
            <w:bottom w:w="0" w:type="dxa"/>
            <w:right w:w="28" w:type="dxa"/>
          </w:tblCellMar>
        </w:tblPrEx>
        <w:trPr>
          <w:trHeight w:val="281" w:hRule="atLeast"/>
          <w:jc w:val="center"/>
        </w:trPr>
        <w:tc>
          <w:tcPr>
            <w:tcW w:w="1500" w:type="pct"/>
            <w:shd w:val="clear" w:color="auto" w:fill="D9E2F3" w:themeFill="accent1" w:themeFillTint="33"/>
            <w:noWrap/>
            <w:vAlign w:val="center"/>
          </w:tcPr>
          <w:p>
            <w:pPr>
              <w:spacing w:before="0"/>
              <w:jc w:val="center"/>
              <w:rPr>
                <w:rFonts w:asciiTheme="minorEastAsia" w:hAnsiTheme="minorEastAsia" w:eastAsiaTheme="minorEastAsia" w:cstheme="minorBidi"/>
                <w:b w:val="0"/>
                <w:bCs/>
                <w:color w:val="000000"/>
                <w:sz w:val="21"/>
                <w:szCs w:val="21"/>
              </w:rPr>
            </w:pPr>
            <w:r>
              <w:rPr>
                <w:rFonts w:hint="eastAsia" w:asciiTheme="minorEastAsia" w:hAnsiTheme="minorEastAsia" w:eastAsiaTheme="minorEastAsia" w:cstheme="minorBidi"/>
                <w:b w:val="0"/>
                <w:bCs/>
                <w:color w:val="000000"/>
                <w:sz w:val="21"/>
                <w:szCs w:val="21"/>
              </w:rPr>
              <w:t>材料成型及控制工程</w:t>
            </w:r>
          </w:p>
        </w:tc>
        <w:tc>
          <w:tcPr>
            <w:tcW w:w="500" w:type="pct"/>
            <w:shd w:val="clear" w:color="auto" w:fill="D9E2F3" w:themeFill="accent1" w:themeFillTint="33"/>
            <w:noWrap/>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0.00%</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16.67%</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33.33%</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33.33%</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16.67%</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50.00%</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2.50</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28" w:type="dxa"/>
            <w:bottom w:w="0" w:type="dxa"/>
            <w:right w:w="28" w:type="dxa"/>
          </w:tblCellMar>
        </w:tblPrEx>
        <w:trPr>
          <w:trHeight w:val="281" w:hRule="atLeast"/>
          <w:jc w:val="center"/>
        </w:trPr>
        <w:tc>
          <w:tcPr>
            <w:tcW w:w="1500" w:type="pct"/>
            <w:noWrap/>
            <w:vAlign w:val="center"/>
          </w:tcPr>
          <w:p>
            <w:pPr>
              <w:spacing w:before="0"/>
              <w:jc w:val="center"/>
              <w:rPr>
                <w:rFonts w:asciiTheme="minorEastAsia" w:hAnsiTheme="minorEastAsia" w:eastAsiaTheme="minorEastAsia" w:cstheme="minorBidi"/>
                <w:b w:val="0"/>
                <w:bCs/>
                <w:color w:val="000000"/>
                <w:sz w:val="21"/>
                <w:szCs w:val="21"/>
              </w:rPr>
            </w:pPr>
            <w:r>
              <w:rPr>
                <w:rFonts w:hint="eastAsia" w:asciiTheme="minorEastAsia" w:hAnsiTheme="minorEastAsia" w:eastAsiaTheme="minorEastAsia" w:cstheme="minorBidi"/>
                <w:b w:val="0"/>
                <w:bCs/>
                <w:color w:val="000000"/>
                <w:sz w:val="21"/>
                <w:szCs w:val="21"/>
              </w:rPr>
              <w:t>汽车服务工程</w:t>
            </w:r>
          </w:p>
        </w:tc>
        <w:tc>
          <w:tcPr>
            <w:tcW w:w="500" w:type="pct"/>
            <w:noWrap/>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3.45%</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13.79%</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41.38%</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10.34%</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31.03%</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58.62%</w:t>
            </w:r>
          </w:p>
        </w:tc>
        <w:tc>
          <w:tcPr>
            <w:tcW w:w="500" w:type="pct"/>
            <w:vAlign w:val="center"/>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color w:val="000000"/>
                <w:sz w:val="21"/>
                <w:szCs w:val="21"/>
              </w:rPr>
              <w:t>2.48</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28" w:type="dxa"/>
            <w:bottom w:w="0" w:type="dxa"/>
            <w:right w:w="28" w:type="dxa"/>
          </w:tblCellMar>
        </w:tblPrEx>
        <w:trPr>
          <w:trHeight w:val="281" w:hRule="atLeast"/>
          <w:jc w:val="center"/>
        </w:trPr>
        <w:tc>
          <w:tcPr>
            <w:tcW w:w="1500" w:type="pct"/>
            <w:shd w:val="clear" w:color="auto" w:fill="D9E2F3" w:themeFill="accent1" w:themeFillTint="33"/>
            <w:noWrap/>
            <w:vAlign w:val="center"/>
          </w:tcPr>
          <w:p>
            <w:pPr>
              <w:spacing w:before="0"/>
              <w:jc w:val="center"/>
              <w:rPr>
                <w:rFonts w:asciiTheme="minorEastAsia" w:hAnsiTheme="minorEastAsia" w:eastAsiaTheme="minorEastAsia" w:cstheme="minorBidi"/>
                <w:b w:val="0"/>
                <w:bCs/>
                <w:color w:val="000000"/>
                <w:sz w:val="21"/>
                <w:szCs w:val="21"/>
              </w:rPr>
            </w:pPr>
            <w:r>
              <w:rPr>
                <w:rFonts w:hint="eastAsia" w:asciiTheme="minorEastAsia" w:hAnsiTheme="minorEastAsia" w:eastAsiaTheme="minorEastAsia" w:cstheme="minorBidi"/>
                <w:b w:val="0"/>
                <w:bCs/>
                <w:color w:val="000000"/>
                <w:sz w:val="21"/>
                <w:szCs w:val="21"/>
              </w:rPr>
              <w:t>旅游管理</w:t>
            </w:r>
          </w:p>
        </w:tc>
        <w:tc>
          <w:tcPr>
            <w:tcW w:w="500" w:type="pct"/>
            <w:shd w:val="clear" w:color="auto" w:fill="D9E2F3" w:themeFill="accent1" w:themeFillTint="33"/>
            <w:noWrap/>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6.06%</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15.15%</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24.24%</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27.27%</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27.27%</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45.45%</w:t>
            </w:r>
          </w:p>
        </w:tc>
        <w:tc>
          <w:tcPr>
            <w:tcW w:w="500" w:type="pct"/>
            <w:shd w:val="clear" w:color="auto" w:fill="D9E2F3" w:themeFill="accent1" w:themeFillTint="33"/>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2.45</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28" w:type="dxa"/>
            <w:bottom w:w="0" w:type="dxa"/>
            <w:right w:w="28" w:type="dxa"/>
          </w:tblCellMar>
        </w:tblPrEx>
        <w:trPr>
          <w:trHeight w:val="281" w:hRule="atLeast"/>
          <w:jc w:val="center"/>
        </w:trPr>
        <w:tc>
          <w:tcPr>
            <w:tcW w:w="1500" w:type="pct"/>
            <w:noWrap/>
            <w:vAlign w:val="center"/>
          </w:tcPr>
          <w:p>
            <w:pPr>
              <w:spacing w:before="0"/>
              <w:jc w:val="center"/>
              <w:rPr>
                <w:rFonts w:asciiTheme="minorEastAsia" w:hAnsiTheme="minorEastAsia" w:eastAsiaTheme="minorEastAsia" w:cstheme="minorBidi"/>
                <w:b w:val="0"/>
                <w:bCs/>
                <w:color w:val="000000"/>
                <w:sz w:val="21"/>
                <w:szCs w:val="21"/>
              </w:rPr>
            </w:pPr>
            <w:r>
              <w:rPr>
                <w:rFonts w:hint="eastAsia" w:asciiTheme="minorEastAsia" w:hAnsiTheme="minorEastAsia" w:eastAsiaTheme="minorEastAsia" w:cstheme="minorBidi"/>
                <w:b w:val="0"/>
                <w:bCs/>
                <w:color w:val="000000"/>
                <w:sz w:val="21"/>
                <w:szCs w:val="21"/>
              </w:rPr>
              <w:t>光电信息科学与工程</w:t>
            </w:r>
          </w:p>
        </w:tc>
        <w:tc>
          <w:tcPr>
            <w:tcW w:w="500" w:type="pct"/>
            <w:noWrap/>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5.88%</w:t>
            </w:r>
          </w:p>
        </w:tc>
        <w:tc>
          <w:tcPr>
            <w:tcW w:w="500" w:type="pct"/>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5.88%</w:t>
            </w:r>
          </w:p>
        </w:tc>
        <w:tc>
          <w:tcPr>
            <w:tcW w:w="500" w:type="pct"/>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23.53%</w:t>
            </w:r>
          </w:p>
        </w:tc>
        <w:tc>
          <w:tcPr>
            <w:tcW w:w="500" w:type="pct"/>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35.29%</w:t>
            </w:r>
          </w:p>
        </w:tc>
        <w:tc>
          <w:tcPr>
            <w:tcW w:w="500" w:type="pct"/>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29.41%</w:t>
            </w:r>
          </w:p>
        </w:tc>
        <w:tc>
          <w:tcPr>
            <w:tcW w:w="500" w:type="pct"/>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35.29%</w:t>
            </w:r>
          </w:p>
        </w:tc>
        <w:tc>
          <w:tcPr>
            <w:tcW w:w="500" w:type="pct"/>
            <w:vAlign w:val="center"/>
          </w:tcPr>
          <w:p>
            <w:pPr>
              <w:spacing w:before="0"/>
              <w:jc w:val="center"/>
              <w:rPr>
                <w:rFonts w:ascii="Times New Roman" w:hAnsi="Times New Roman" w:eastAsiaTheme="minorEastAsia" w:cstheme="minorBidi"/>
                <w:bCs/>
                <w:color w:val="000000"/>
                <w:sz w:val="21"/>
                <w:szCs w:val="21"/>
              </w:rPr>
            </w:pPr>
            <w:r>
              <w:rPr>
                <w:rFonts w:ascii="Times New Roman" w:hAnsi="Times New Roman" w:eastAsiaTheme="minorEastAsia" w:cstheme="minorBidi"/>
                <w:bCs/>
                <w:color w:val="000000"/>
                <w:sz w:val="21"/>
                <w:szCs w:val="21"/>
              </w:rPr>
              <w:t>2.24</w:t>
            </w:r>
          </w:p>
        </w:tc>
      </w:tr>
    </w:tbl>
    <w:p>
      <w:pPr>
        <w:pStyle w:val="132"/>
        <w:ind w:firstLine="360"/>
        <w:jc w:val="both"/>
      </w:pPr>
      <w:r>
        <w:t>注</w:t>
      </w:r>
      <w:r>
        <w:rPr>
          <w:rFonts w:hint="eastAsia"/>
        </w:rPr>
        <w:t>：</w:t>
      </w:r>
      <w:r>
        <w:t>1.</w:t>
      </w:r>
      <w:r>
        <w:rPr>
          <w:rFonts w:hint="eastAsia"/>
        </w:rPr>
        <w:t>专业相关度评价维度包括“很相关”、“比较相关”、“一般”、“比较不相关”、“很不相关”和“无法评价”；其中，相关度为选择“很相关”、“比较相关”和“一般”的人数占“此题总人数—无法评价人数”的比例。</w:t>
      </w:r>
    </w:p>
    <w:p>
      <w:pPr>
        <w:pStyle w:val="132"/>
        <w:ind w:firstLine="720" w:firstLineChars="400"/>
        <w:jc w:val="both"/>
      </w:pPr>
      <w:r>
        <w:rPr>
          <w:rFonts w:hint="eastAsia"/>
        </w:rPr>
        <w:t>2</w:t>
      </w:r>
      <w:r>
        <w:t>.</w:t>
      </w:r>
      <w:r>
        <w:rPr>
          <w:rFonts w:hint="eastAsia"/>
        </w:rPr>
        <w:t xml:space="preserve"> 广告学等</w:t>
      </w:r>
      <w:r>
        <w:t>专业样本量较小，不纳入到报告</w:t>
      </w:r>
      <w:r>
        <w:rPr>
          <w:rFonts w:hint="eastAsia"/>
        </w:rPr>
        <w:t>此处</w:t>
      </w:r>
      <w:r>
        <w:t>的分析范围。</w:t>
      </w:r>
    </w:p>
    <w:p>
      <w:pPr>
        <w:pStyle w:val="132"/>
        <w:ind w:firstLine="360"/>
        <w:jc w:val="both"/>
      </w:pPr>
      <w:r>
        <w:rPr>
          <w:rFonts w:hint="eastAsia"/>
        </w:rPr>
        <w:t>数据来源：第三方机构新锦成</w:t>
      </w:r>
      <w:r>
        <w:t>-2019届</w:t>
      </w:r>
      <w:r>
        <w:rPr>
          <w:rFonts w:hint="eastAsia"/>
        </w:rPr>
        <w:t>毕业生就业与培养质量调查。</w:t>
      </w:r>
    </w:p>
    <w:p>
      <w:pPr>
        <w:pStyle w:val="64"/>
        <w:spacing w:before="156" w:after="156"/>
        <w:ind w:firstLine="482"/>
        <w:jc w:val="both"/>
        <w:rPr>
          <w:rFonts w:ascii="Times New Roman" w:hAnsi="Times New Roman" w:eastAsiaTheme="minorEastAsia"/>
        </w:rPr>
      </w:pPr>
      <w:bookmarkStart w:id="155" w:name="_Hlk19116654"/>
      <w:r>
        <w:rPr>
          <w:rFonts w:ascii="Times New Roman" w:hAnsi="Times New Roman"/>
          <w:b/>
          <w:color w:val="4472C4" w:themeColor="accent1"/>
          <w14:textFill>
            <w14:solidFill>
              <w14:schemeClr w14:val="accent1"/>
            </w14:solidFill>
          </w14:textFill>
        </w:rPr>
        <w:t>从事</w:t>
      </w:r>
      <w:r>
        <w:rPr>
          <w:rFonts w:hint="eastAsia" w:ascii="Times New Roman" w:hAnsi="Times New Roman"/>
          <w:b/>
          <w:color w:val="4472C4" w:themeColor="accent1"/>
          <w14:textFill>
            <w14:solidFill>
              <w14:schemeClr w14:val="accent1"/>
            </w14:solidFill>
          </w14:textFill>
        </w:rPr>
        <w:t>与</w:t>
      </w:r>
      <w:r>
        <w:rPr>
          <w:rFonts w:ascii="Times New Roman" w:hAnsi="Times New Roman"/>
          <w:b/>
          <w:color w:val="4472C4" w:themeColor="accent1"/>
          <w14:textFill>
            <w14:solidFill>
              <w14:schemeClr w14:val="accent1"/>
            </w14:solidFill>
          </w14:textFill>
        </w:rPr>
        <w:t>专业</w:t>
      </w:r>
      <w:r>
        <w:rPr>
          <w:rFonts w:hint="eastAsia" w:ascii="Times New Roman" w:hAnsi="Times New Roman"/>
          <w:b/>
          <w:color w:val="4472C4" w:themeColor="accent1"/>
          <w14:textFill>
            <w14:solidFill>
              <w14:schemeClr w14:val="accent1"/>
            </w14:solidFill>
          </w14:textFill>
        </w:rPr>
        <w:t>不相关</w:t>
      </w:r>
      <w:r>
        <w:rPr>
          <w:rFonts w:ascii="Times New Roman" w:hAnsi="Times New Roman"/>
          <w:b/>
          <w:color w:val="4472C4" w:themeColor="accent1"/>
          <w14:textFill>
            <w14:solidFill>
              <w14:schemeClr w14:val="accent1"/>
            </w14:solidFill>
          </w14:textFill>
        </w:rPr>
        <w:t>工作的原因：</w:t>
      </w:r>
      <w:r>
        <w:rPr>
          <w:rFonts w:hint="eastAsia" w:ascii="Times New Roman" w:hAnsi="Times New Roman"/>
          <w:bCs/>
          <w:color w:val="000000" w:themeColor="text1"/>
          <w14:textFill>
            <w14:solidFill>
              <w14:schemeClr w14:val="tx1"/>
            </w14:solidFill>
          </w14:textFill>
        </w:rPr>
        <w:t>主要为</w:t>
      </w:r>
      <w:r>
        <w:rPr>
          <w:rFonts w:hint="eastAsia" w:ascii="Times New Roman" w:hAnsi="Times New Roman"/>
        </w:rPr>
        <w:t>“不想找相关工作，因为个人兴趣”（30.60%）和“想找相关工作，但是就业机会太少”（18.93%）</w:t>
      </w:r>
      <w:r>
        <w:rPr>
          <w:rFonts w:ascii="Times New Roman" w:hAnsi="Times New Roman" w:eastAsiaTheme="minorEastAsia"/>
        </w:rPr>
        <w:t>。</w:t>
      </w:r>
    </w:p>
    <w:p>
      <w:pPr>
        <w:pStyle w:val="132"/>
        <w:ind w:firstLine="0" w:firstLineChars="0"/>
        <w:jc w:val="center"/>
      </w:pPr>
      <w:r>
        <w:drawing>
          <wp:inline distT="0" distB="0" distL="0" distR="0">
            <wp:extent cx="5400675" cy="1619885"/>
            <wp:effectExtent l="0" t="0" r="0" b="0"/>
            <wp:docPr id="83" name="图表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pStyle w:val="203"/>
        <w:spacing w:before="0" w:beforeLines="0" w:after="0" w:afterLines="0"/>
      </w:pPr>
      <w:bookmarkStart w:id="156" w:name="_Toc525725822"/>
      <w:bookmarkStart w:id="157" w:name="_Toc27002310"/>
      <w:r>
        <w:t xml:space="preserve">图3- </w:t>
      </w:r>
      <w:r>
        <w:fldChar w:fldCharType="begin"/>
      </w:r>
      <w:r>
        <w:instrText xml:space="preserve"> SEQ 图3- \* ARABIC </w:instrText>
      </w:r>
      <w:r>
        <w:fldChar w:fldCharType="separate"/>
      </w:r>
      <w:r>
        <w:t>6</w:t>
      </w:r>
      <w:r>
        <w:fldChar w:fldCharType="end"/>
      </w:r>
      <w:r>
        <w:rPr>
          <w:rFonts w:hint="eastAsia"/>
        </w:rPr>
        <w:t xml:space="preserve">  201</w:t>
      </w:r>
      <w:r>
        <w:t>9</w:t>
      </w:r>
      <w:r>
        <w:rPr>
          <w:rFonts w:hint="eastAsia"/>
        </w:rPr>
        <w:t>届毕业生从事与专业不相关</w:t>
      </w:r>
      <w:r>
        <w:t>工作的原因</w:t>
      </w:r>
      <w:bookmarkEnd w:id="156"/>
      <w:bookmarkEnd w:id="157"/>
    </w:p>
    <w:p>
      <w:pPr>
        <w:pStyle w:val="132"/>
        <w:ind w:firstLine="360"/>
        <w:jc w:val="both"/>
      </w:pPr>
      <w:r>
        <w:t>数据来源</w:t>
      </w:r>
      <w:r>
        <w:rPr>
          <w:rFonts w:hint="eastAsia"/>
        </w:rPr>
        <w:t>：第三方机构新锦成-201</w:t>
      </w:r>
      <w:r>
        <w:t>9</w:t>
      </w:r>
      <w:r>
        <w:rPr>
          <w:rFonts w:hint="eastAsia"/>
        </w:rPr>
        <w:t>届</w:t>
      </w:r>
      <w:r>
        <w:t>毕业生就业与培养质量调查。</w:t>
      </w:r>
      <w:bookmarkEnd w:id="155"/>
    </w:p>
    <w:p>
      <w:pPr>
        <w:pStyle w:val="152"/>
        <w:spacing w:after="156" w:afterLines="50"/>
        <w:rPr>
          <w:color w:val="4472C4" w:themeColor="accent1"/>
          <w14:textFill>
            <w14:solidFill>
              <w14:schemeClr w14:val="accent1"/>
            </w14:solidFill>
          </w14:textFill>
        </w:rPr>
      </w:pPr>
      <w:bookmarkStart w:id="158" w:name="_Toc27601833"/>
      <w:r>
        <w:rPr>
          <w:rFonts w:hint="eastAsia"/>
          <w:color w:val="4472C4" w:themeColor="accent1"/>
          <w14:textFill>
            <w14:solidFill>
              <w14:schemeClr w14:val="accent1"/>
            </w14:solidFill>
          </w14:textFill>
        </w:rPr>
        <w:t>（三</w:t>
      </w:r>
      <w:r>
        <w:rPr>
          <w:color w:val="4472C4" w:themeColor="accent1"/>
          <w14:textFill>
            <w14:solidFill>
              <w14:schemeClr w14:val="accent1"/>
            </w14:solidFill>
          </w14:textFill>
        </w:rPr>
        <w:t>）</w:t>
      </w:r>
      <w:r>
        <w:rPr>
          <w:rFonts w:hint="eastAsia"/>
          <w:color w:val="4472C4" w:themeColor="accent1"/>
          <w14:textFill>
            <w14:solidFill>
              <w14:schemeClr w14:val="accent1"/>
            </w14:solidFill>
          </w14:textFill>
        </w:rPr>
        <w:t>工作</w:t>
      </w:r>
      <w:r>
        <w:rPr>
          <w:color w:val="4472C4" w:themeColor="accent1"/>
          <w14:textFill>
            <w14:solidFill>
              <w14:schemeClr w14:val="accent1"/>
            </w14:solidFill>
          </w14:textFill>
        </w:rPr>
        <w:t>满意</w:t>
      </w:r>
      <w:r>
        <w:rPr>
          <w:rFonts w:hint="eastAsia"/>
          <w:color w:val="4472C4" w:themeColor="accent1"/>
          <w14:textFill>
            <w14:solidFill>
              <w14:schemeClr w14:val="accent1"/>
            </w14:solidFill>
          </w14:textFill>
        </w:rPr>
        <w:t>度</w:t>
      </w:r>
      <w:bookmarkEnd w:id="158"/>
    </w:p>
    <w:p>
      <w:pPr>
        <w:pStyle w:val="179"/>
        <w:spacing w:before="156" w:beforeLines="50" w:after="156" w:afterLines="50"/>
        <w:ind w:firstLine="482"/>
      </w:pPr>
      <w:r>
        <w:rPr>
          <w:rFonts w:hint="eastAsia" w:cstheme="minorBidi"/>
          <w:b/>
          <w:bCs w:val="0"/>
          <w:color w:val="4472C4" w:themeColor="accent1"/>
          <w:szCs w:val="24"/>
          <w:lang w:val="en-US"/>
          <w14:textFill>
            <w14:solidFill>
              <w14:schemeClr w14:val="accent1"/>
            </w14:solidFill>
          </w14:textFill>
        </w:rPr>
        <w:t>工作</w:t>
      </w:r>
      <w:r>
        <w:rPr>
          <w:rFonts w:cstheme="minorBidi"/>
          <w:b/>
          <w:bCs w:val="0"/>
          <w:color w:val="4472C4" w:themeColor="accent1"/>
          <w:szCs w:val="24"/>
          <w:lang w:val="en-US"/>
          <w14:textFill>
            <w14:solidFill>
              <w14:schemeClr w14:val="accent1"/>
            </w14:solidFill>
          </w14:textFill>
        </w:rPr>
        <w:t>总体及各方面的满意度：</w:t>
      </w:r>
      <w:r>
        <w:rPr>
          <w:rFonts w:hint="eastAsia"/>
        </w:rPr>
        <w:t>学校</w:t>
      </w:r>
      <w:r>
        <w:t>2019届</w:t>
      </w:r>
      <w:r>
        <w:rPr>
          <w:rFonts w:hint="eastAsia"/>
        </w:rPr>
        <w:t>毕业生对目前</w:t>
      </w:r>
      <w:r>
        <w:t>工作</w:t>
      </w:r>
      <w:r>
        <w:rPr>
          <w:rFonts w:hint="eastAsia"/>
        </w:rPr>
        <w:t>总</w:t>
      </w:r>
      <w:r>
        <w:t>的</w:t>
      </w:r>
      <w:r>
        <w:rPr>
          <w:rFonts w:hint="eastAsia"/>
        </w:rPr>
        <w:t>满意度均值为</w:t>
      </w:r>
      <w:bookmarkStart w:id="159" w:name="_Hlk24272254"/>
      <w:r>
        <w:t>3.</w:t>
      </w:r>
      <w:r>
        <w:rPr>
          <w:rFonts w:hint="eastAsia"/>
        </w:rPr>
        <w:t>34</w:t>
      </w:r>
      <w:bookmarkEnd w:id="159"/>
      <w:r>
        <w:rPr>
          <w:rFonts w:hint="eastAsia"/>
        </w:rPr>
        <w:t>分，偏向“一般”水平。</w:t>
      </w:r>
      <w:r>
        <w:t>其中对</w:t>
      </w:r>
      <w:r>
        <w:rPr>
          <w:rFonts w:hint="eastAsia"/>
          <w:lang w:val="en-US"/>
        </w:rPr>
        <w:t>职业发展前景</w:t>
      </w:r>
      <w:r>
        <w:t>满意度</w:t>
      </w:r>
      <w:r>
        <w:rPr>
          <w:rFonts w:hint="eastAsia"/>
        </w:rPr>
        <w:t>均值最高</w:t>
      </w:r>
      <w:r>
        <w:t>，为3.</w:t>
      </w:r>
      <w:r>
        <w:rPr>
          <w:rFonts w:hint="eastAsia"/>
        </w:rPr>
        <w:t>40分，偏向“一般”水平</w:t>
      </w:r>
      <w:r>
        <w:t>。</w:t>
      </w:r>
      <w:r>
        <w:rPr>
          <w:rFonts w:hint="eastAsia"/>
        </w:rPr>
        <w:t>从各方面均值来看</w:t>
      </w:r>
      <w:r>
        <w:t>，</w:t>
      </w:r>
      <w:r>
        <w:rPr>
          <w:rFonts w:hint="eastAsia"/>
        </w:rPr>
        <w:t>均处于3.06分</w:t>
      </w:r>
      <w:r>
        <w:t>及以上</w:t>
      </w:r>
      <w:r>
        <w:rPr>
          <w:rFonts w:hint="eastAsia"/>
        </w:rPr>
        <w:t>，介于</w:t>
      </w:r>
      <w:r>
        <w:rPr>
          <w:rFonts w:asciiTheme="minorEastAsia" w:hAnsiTheme="minorEastAsia" w:eastAsiaTheme="minorEastAsia"/>
        </w:rPr>
        <w:t>“</w:t>
      </w:r>
      <w:r>
        <w:rPr>
          <w:rFonts w:hint="eastAsia"/>
        </w:rPr>
        <w:t>一般</w:t>
      </w:r>
      <w:r>
        <w:rPr>
          <w:rFonts w:asciiTheme="minorEastAsia" w:hAnsiTheme="minorEastAsia" w:eastAsiaTheme="minorEastAsia"/>
        </w:rPr>
        <w:t>”</w:t>
      </w:r>
      <w:r>
        <w:rPr>
          <w:rFonts w:hint="eastAsia"/>
        </w:rPr>
        <w:t>和“比较</w:t>
      </w:r>
      <w:r>
        <w:t>满意</w:t>
      </w:r>
      <w:r>
        <w:rPr>
          <w:rFonts w:hint="eastAsia"/>
        </w:rPr>
        <w:t>”水平之间</w:t>
      </w:r>
      <w:r>
        <w:t>；</w:t>
      </w:r>
      <w:r>
        <w:rPr>
          <w:rFonts w:hint="eastAsia"/>
        </w:rPr>
        <w:t>可见毕业生</w:t>
      </w:r>
      <w:r>
        <w:t>对初入</w:t>
      </w:r>
      <w:r>
        <w:rPr>
          <w:rFonts w:hint="eastAsia"/>
        </w:rPr>
        <w:t>职场的岗位和</w:t>
      </w:r>
      <w:r>
        <w:t>工作内容</w:t>
      </w:r>
      <w:r>
        <w:rPr>
          <w:rFonts w:hint="eastAsia"/>
        </w:rPr>
        <w:t>等</w:t>
      </w:r>
      <w:r>
        <w:t>方面</w:t>
      </w:r>
      <w:r>
        <w:rPr>
          <w:rFonts w:hint="eastAsia"/>
        </w:rPr>
        <w:t>均比较</w:t>
      </w:r>
      <w:r>
        <w:t>认同</w:t>
      </w:r>
      <w:r>
        <w:rPr>
          <w:rFonts w:hint="eastAsia"/>
        </w:rPr>
        <w:t>。</w:t>
      </w:r>
    </w:p>
    <w:p>
      <w:pPr>
        <w:pStyle w:val="132"/>
        <w:ind w:firstLine="0" w:firstLineChars="0"/>
        <w:jc w:val="center"/>
      </w:pPr>
      <w:r>
        <w:drawing>
          <wp:inline distT="0" distB="0" distL="0" distR="0">
            <wp:extent cx="5399405" cy="1439545"/>
            <wp:effectExtent l="0" t="0" r="0" b="8255"/>
            <wp:docPr id="34"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pStyle w:val="203"/>
        <w:spacing w:before="0" w:beforeLines="0" w:after="0" w:afterLines="0"/>
      </w:pPr>
      <w:bookmarkStart w:id="160" w:name="_Toc27002311"/>
      <w:r>
        <w:t xml:space="preserve">图3- </w:t>
      </w:r>
      <w:r>
        <w:fldChar w:fldCharType="begin"/>
      </w:r>
      <w:r>
        <w:instrText xml:space="preserve"> SEQ 图3- \* ARABIC </w:instrText>
      </w:r>
      <w:r>
        <w:fldChar w:fldCharType="separate"/>
      </w:r>
      <w:r>
        <w:t>7</w:t>
      </w:r>
      <w:r>
        <w:fldChar w:fldCharType="end"/>
      </w:r>
      <w:r>
        <w:t xml:space="preserve">  2019届</w:t>
      </w:r>
      <w:r>
        <w:rPr>
          <w:rFonts w:hint="eastAsia"/>
        </w:rPr>
        <w:t>毕业生</w:t>
      </w:r>
      <w:r>
        <w:t>对工作满意度的评价</w:t>
      </w:r>
      <w:bookmarkEnd w:id="160"/>
    </w:p>
    <w:p>
      <w:pPr>
        <w:pStyle w:val="132"/>
        <w:ind w:firstLine="360"/>
        <w:jc w:val="both"/>
      </w:pPr>
      <w:r>
        <w:rPr>
          <w:rFonts w:hint="eastAsia"/>
        </w:rPr>
        <w:t>注：评价维度包括“很满意”、“比较满意”、“一般”、“比较不满意”、“很不满意”和“无法评价”；其中，满意度为选择“很满意”、“比较满意”和“一般”的人数占“此题总人数—无法评价人数”的比例。</w:t>
      </w:r>
    </w:p>
    <w:p>
      <w:pPr>
        <w:pStyle w:val="132"/>
        <w:ind w:firstLine="360"/>
      </w:pPr>
      <w:r>
        <w:t>数据来源</w:t>
      </w:r>
      <w:r>
        <w:rPr>
          <w:rFonts w:hint="eastAsia"/>
        </w:rPr>
        <w:t>：第三方机构新锦成-</w:t>
      </w:r>
      <w:r>
        <w:rPr>
          <w:rFonts w:hint="eastAsia" w:eastAsia="宋体"/>
        </w:rPr>
        <w:t>2019届</w:t>
      </w:r>
      <w:r>
        <w:t>毕业生就业与培养质量调查。</w:t>
      </w:r>
    </w:p>
    <w:p>
      <w:pPr>
        <w:pStyle w:val="199"/>
        <w:spacing w:before="156" w:beforeLines="50" w:after="156" w:afterLines="50"/>
        <w:ind w:firstLine="482"/>
      </w:pPr>
      <w:r>
        <w:rPr>
          <w:rFonts w:hint="eastAsia"/>
          <w:b/>
          <w:color w:val="4472C4" w:themeColor="accent1"/>
          <w14:textFill>
            <w14:solidFill>
              <w14:schemeClr w14:val="accent1"/>
            </w14:solidFill>
          </w14:textFill>
        </w:rPr>
        <w:t>主要就业行业</w:t>
      </w:r>
      <w:r>
        <w:rPr>
          <w:b/>
          <w:color w:val="4472C4" w:themeColor="accent1"/>
          <w14:textFill>
            <w14:solidFill>
              <w14:schemeClr w14:val="accent1"/>
            </w14:solidFill>
          </w14:textFill>
        </w:rPr>
        <w:t>的</w:t>
      </w:r>
      <w:r>
        <w:rPr>
          <w:rFonts w:hint="eastAsia"/>
          <w:b/>
          <w:color w:val="4472C4" w:themeColor="accent1"/>
          <w14:textFill>
            <w14:solidFill>
              <w14:schemeClr w14:val="accent1"/>
            </w14:solidFill>
          </w14:textFill>
        </w:rPr>
        <w:t>工作</w:t>
      </w:r>
      <w:r>
        <w:rPr>
          <w:b/>
          <w:color w:val="4472C4" w:themeColor="accent1"/>
          <w14:textFill>
            <w14:solidFill>
              <w14:schemeClr w14:val="accent1"/>
            </w14:solidFill>
          </w14:textFill>
        </w:rPr>
        <w:t>满意度：</w:t>
      </w:r>
      <w:r>
        <w:rPr>
          <w:rFonts w:hint="eastAsia"/>
        </w:rPr>
        <w:t>在“保险业”、“卫生”、“零售业”三个领域就业</w:t>
      </w:r>
      <w:r>
        <w:t>的</w:t>
      </w:r>
      <w:r>
        <w:rPr>
          <w:rFonts w:hint="eastAsia"/>
        </w:rPr>
        <w:t>毕业生对工作的满意度</w:t>
      </w:r>
      <w:r>
        <w:t>高，</w:t>
      </w:r>
      <w:r>
        <w:rPr>
          <w:rFonts w:hint="eastAsia"/>
        </w:rPr>
        <w:t>为100</w:t>
      </w:r>
      <w:r>
        <w:t>.00%</w:t>
      </w:r>
      <w:r>
        <w:rPr>
          <w:rFonts w:hint="eastAsia"/>
        </w:rPr>
        <w:t>；而在</w:t>
      </w:r>
      <w:r>
        <w:rPr>
          <w:rFonts w:asciiTheme="minorEastAsia" w:hAnsiTheme="minorEastAsia" w:eastAsiaTheme="minorEastAsia"/>
        </w:rPr>
        <w:t>“</w:t>
      </w:r>
      <w:r>
        <w:rPr>
          <w:rFonts w:hint="eastAsia" w:asciiTheme="minorEastAsia" w:hAnsiTheme="minorEastAsia" w:eastAsiaTheme="minorEastAsia"/>
        </w:rPr>
        <w:t>其他金融业</w:t>
      </w:r>
      <w:r>
        <w:rPr>
          <w:rFonts w:asciiTheme="minorEastAsia" w:hAnsiTheme="minorEastAsia" w:eastAsiaTheme="minorEastAsia"/>
        </w:rPr>
        <w:t>”</w:t>
      </w:r>
      <w:r>
        <w:rPr>
          <w:rFonts w:hint="eastAsia" w:asciiTheme="minorEastAsia" w:hAnsiTheme="minorEastAsia" w:eastAsiaTheme="minorEastAsia"/>
        </w:rPr>
        <w:t>领域</w:t>
      </w:r>
      <w:r>
        <w:rPr>
          <w:rFonts w:hint="eastAsia"/>
        </w:rPr>
        <w:t>就业</w:t>
      </w:r>
      <w:r>
        <w:t>的</w:t>
      </w:r>
      <w:r>
        <w:rPr>
          <w:rFonts w:hint="eastAsia"/>
        </w:rPr>
        <w:t>毕业生对工作的满意度</w:t>
      </w:r>
      <w:r>
        <w:t>较</w:t>
      </w:r>
      <w:r>
        <w:rPr>
          <w:rFonts w:hint="eastAsia"/>
        </w:rPr>
        <w:t>低</w:t>
      </w:r>
      <w:r>
        <w:t>，为7</w:t>
      </w:r>
      <w:r>
        <w:rPr>
          <w:rFonts w:hint="eastAsia"/>
        </w:rPr>
        <w:t>8.57</w:t>
      </w:r>
      <w:r>
        <w:t>%。</w:t>
      </w:r>
    </w:p>
    <w:p>
      <w:pPr>
        <w:pStyle w:val="132"/>
        <w:ind w:left="0" w:leftChars="-850" w:hanging="1700" w:hangingChars="945"/>
        <w:jc w:val="center"/>
      </w:pPr>
      <w:r>
        <w:drawing>
          <wp:inline distT="0" distB="0" distL="0" distR="0">
            <wp:extent cx="6119495" cy="6119495"/>
            <wp:effectExtent l="0" t="0" r="0" b="0"/>
            <wp:docPr id="85"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pStyle w:val="203"/>
        <w:spacing w:before="0" w:beforeLines="0" w:after="0" w:afterLines="0"/>
      </w:pPr>
      <w:bookmarkStart w:id="161" w:name="_Toc27002312"/>
      <w:r>
        <w:rPr>
          <w:rFonts w:hint="eastAsia"/>
        </w:rPr>
        <w:t xml:space="preserve">图3- </w:t>
      </w:r>
      <w:r>
        <w:fldChar w:fldCharType="begin"/>
      </w:r>
      <w:r>
        <w:instrText xml:space="preserve"> </w:instrText>
      </w:r>
      <w:r>
        <w:rPr>
          <w:rFonts w:hint="eastAsia"/>
        </w:rPr>
        <w:instrText xml:space="preserve">SEQ 图3- \* ARABIC</w:instrText>
      </w:r>
      <w:r>
        <w:instrText xml:space="preserve"> </w:instrText>
      </w:r>
      <w:r>
        <w:fldChar w:fldCharType="separate"/>
      </w:r>
      <w:r>
        <w:t>8</w:t>
      </w:r>
      <w:r>
        <w:fldChar w:fldCharType="end"/>
      </w:r>
      <w:r>
        <w:t xml:space="preserve">  2019届</w:t>
      </w:r>
      <w:r>
        <w:rPr>
          <w:rFonts w:hint="eastAsia"/>
        </w:rPr>
        <w:t>毕业生主要</w:t>
      </w:r>
      <w:r>
        <w:t>就业行业</w:t>
      </w:r>
      <w:r>
        <w:rPr>
          <w:rFonts w:hint="eastAsia"/>
        </w:rPr>
        <w:t>的工作满意度</w:t>
      </w:r>
      <w:bookmarkEnd w:id="161"/>
    </w:p>
    <w:p>
      <w:pPr>
        <w:pStyle w:val="132"/>
        <w:ind w:firstLine="360"/>
        <w:jc w:val="both"/>
      </w:pPr>
      <w:r>
        <w:rPr>
          <w:rFonts w:hint="eastAsia"/>
        </w:rPr>
        <w:t>注：</w:t>
      </w:r>
      <w:r>
        <w:t>主要就业行业</w:t>
      </w:r>
      <w:r>
        <w:rPr>
          <w:rFonts w:hint="eastAsia"/>
        </w:rPr>
        <w:t>指样本人数≥</w:t>
      </w:r>
      <w:r>
        <w:t>2</w:t>
      </w:r>
      <w:r>
        <w:rPr>
          <w:rFonts w:hint="eastAsia"/>
        </w:rPr>
        <w:t>0人的</w:t>
      </w:r>
      <w:r>
        <w:t>就业行业。</w:t>
      </w:r>
    </w:p>
    <w:p>
      <w:pPr>
        <w:pStyle w:val="132"/>
        <w:ind w:firstLine="360"/>
        <w:jc w:val="both"/>
      </w:pPr>
      <w:r>
        <w:rPr>
          <w:rFonts w:hint="eastAsia"/>
        </w:rPr>
        <w:t>数据来源：第三方机构新锦成</w:t>
      </w:r>
      <w:r>
        <w:t>-2019届</w:t>
      </w:r>
      <w:r>
        <w:rPr>
          <w:rFonts w:hint="eastAsia"/>
        </w:rPr>
        <w:t>毕业生就业与培养质量调查。</w:t>
      </w:r>
    </w:p>
    <w:p>
      <w:pPr>
        <w:pStyle w:val="152"/>
        <w:spacing w:after="156" w:afterLines="50"/>
        <w:rPr>
          <w:color w:val="4472C4" w:themeColor="accent1"/>
          <w14:textFill>
            <w14:solidFill>
              <w14:schemeClr w14:val="accent1"/>
            </w14:solidFill>
          </w14:textFill>
        </w:rPr>
      </w:pPr>
      <w:bookmarkStart w:id="162" w:name="_Toc27601834"/>
      <w:r>
        <w:rPr>
          <w:rFonts w:hint="eastAsia"/>
          <w:color w:val="4472C4" w:themeColor="accent1"/>
          <w14:textFill>
            <w14:solidFill>
              <w14:schemeClr w14:val="accent1"/>
            </w14:solidFill>
          </w14:textFill>
        </w:rPr>
        <w:t>（四</w:t>
      </w:r>
      <w:r>
        <w:rPr>
          <w:color w:val="4472C4" w:themeColor="accent1"/>
          <w14:textFill>
            <w14:solidFill>
              <w14:schemeClr w14:val="accent1"/>
            </w14:solidFill>
          </w14:textFill>
        </w:rPr>
        <w:t>）</w:t>
      </w:r>
      <w:r>
        <w:rPr>
          <w:rFonts w:hint="eastAsia"/>
          <w:color w:val="4472C4" w:themeColor="accent1"/>
          <w14:textFill>
            <w14:solidFill>
              <w14:schemeClr w14:val="accent1"/>
            </w14:solidFill>
          </w14:textFill>
        </w:rPr>
        <w:t>职业期待吻合度</w:t>
      </w:r>
      <w:bookmarkEnd w:id="162"/>
    </w:p>
    <w:p>
      <w:pPr>
        <w:pStyle w:val="199"/>
        <w:spacing w:before="156" w:beforeLines="50" w:after="156" w:afterLines="50"/>
        <w:ind w:firstLine="482"/>
      </w:pPr>
      <w:r>
        <w:rPr>
          <w:rFonts w:hint="eastAsia"/>
          <w:b/>
          <w:color w:val="4472C4" w:themeColor="accent1"/>
          <w14:textFill>
            <w14:solidFill>
              <w14:schemeClr w14:val="accent1"/>
            </w14:solidFill>
          </w14:textFill>
        </w:rPr>
        <w:t>总体</w:t>
      </w:r>
      <w:r>
        <w:rPr>
          <w:b/>
          <w:color w:val="4472C4" w:themeColor="accent1"/>
          <w14:textFill>
            <w14:solidFill>
              <w14:schemeClr w14:val="accent1"/>
            </w14:solidFill>
          </w14:textFill>
        </w:rPr>
        <w:t>职业期待吻合度：</w:t>
      </w:r>
      <w:r>
        <w:t>2019</w:t>
      </w:r>
      <w:r>
        <w:rPr>
          <w:rFonts w:hint="eastAsia" w:ascii="宋体" w:hAnsi="宋体" w:cs="宋体"/>
        </w:rPr>
        <w:t>届毕业生目前所从事的工作与自身职业期待的吻合度为</w:t>
      </w:r>
      <w:bookmarkStart w:id="163" w:name="_Hlk24272372"/>
      <w:r>
        <w:rPr>
          <w:rFonts w:hint="eastAsia" w:cs="Times New Roman"/>
        </w:rPr>
        <w:t>84.76%</w:t>
      </w:r>
      <w:bookmarkEnd w:id="163"/>
      <w:r>
        <w:rPr>
          <w:rFonts w:hint="eastAsia" w:ascii="宋体" w:hAnsi="宋体" w:cs="宋体"/>
        </w:rPr>
        <w:t>，其中“很符合”所占比为</w:t>
      </w:r>
      <w:r>
        <w:rPr>
          <w:rFonts w:hint="eastAsia" w:cs="Times New Roman"/>
        </w:rPr>
        <w:t>5</w:t>
      </w:r>
      <w:r>
        <w:rPr>
          <w:rFonts w:cs="Times New Roman"/>
        </w:rPr>
        <w:t>.73</w:t>
      </w:r>
      <w:r>
        <w:rPr>
          <w:rFonts w:hint="eastAsia" w:cs="Times New Roman"/>
        </w:rPr>
        <w:t>%，</w:t>
      </w:r>
      <w:r>
        <w:rPr>
          <w:rFonts w:hint="eastAsia" w:ascii="宋体" w:hAnsi="宋体" w:cs="宋体"/>
        </w:rPr>
        <w:t>“比较符合”所占比例为</w:t>
      </w:r>
      <w:r>
        <w:rPr>
          <w:rFonts w:cs="Times New Roman"/>
        </w:rPr>
        <w:t>35.34%</w:t>
      </w:r>
      <w:r>
        <w:rPr>
          <w:rFonts w:hint="eastAsia" w:ascii="宋体" w:hAnsi="宋体" w:cs="宋体"/>
        </w:rPr>
        <w:t>，吻合度均值为</w:t>
      </w:r>
      <w:r>
        <w:rPr>
          <w:rFonts w:hint="eastAsia" w:cs="Times New Roman"/>
        </w:rPr>
        <w:t>3</w:t>
      </w:r>
      <w:r>
        <w:rPr>
          <w:rFonts w:cs="Times New Roman"/>
        </w:rPr>
        <w:t>.29</w:t>
      </w:r>
      <w:r>
        <w:rPr>
          <w:rFonts w:hint="eastAsia" w:cs="Times New Roman"/>
        </w:rPr>
        <w:t>分（5分</w:t>
      </w:r>
      <w:r>
        <w:rPr>
          <w:rFonts w:hint="eastAsia" w:ascii="宋体" w:hAnsi="宋体" w:cs="宋体"/>
        </w:rPr>
        <w:t>制），偏向“一般”水平，可见目前已落实的工作整体比较符合自身的就业期望。</w:t>
      </w:r>
    </w:p>
    <w:p>
      <w:pPr>
        <w:pStyle w:val="132"/>
        <w:ind w:firstLine="0" w:firstLineChars="0"/>
        <w:jc w:val="center"/>
      </w:pPr>
      <w:r>
        <w:drawing>
          <wp:inline distT="0" distB="0" distL="0" distR="0">
            <wp:extent cx="5399405" cy="1439545"/>
            <wp:effectExtent l="0" t="0" r="0" b="8255"/>
            <wp:docPr id="20"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pStyle w:val="203"/>
        <w:spacing w:before="0" w:beforeLines="0" w:after="0" w:afterLines="0"/>
      </w:pPr>
      <w:bookmarkStart w:id="164" w:name="_Toc27002313"/>
      <w:r>
        <w:rPr>
          <w:rFonts w:hint="eastAsia"/>
        </w:rPr>
        <w:t xml:space="preserve">图3- </w:t>
      </w:r>
      <w:r>
        <w:fldChar w:fldCharType="begin"/>
      </w:r>
      <w:r>
        <w:instrText xml:space="preserve"> </w:instrText>
      </w:r>
      <w:r>
        <w:rPr>
          <w:rFonts w:hint="eastAsia"/>
        </w:rPr>
        <w:instrText xml:space="preserve">SEQ 图3- \* ARABIC</w:instrText>
      </w:r>
      <w:r>
        <w:instrText xml:space="preserve"> </w:instrText>
      </w:r>
      <w:r>
        <w:fldChar w:fldCharType="separate"/>
      </w:r>
      <w:r>
        <w:t>9</w:t>
      </w:r>
      <w:r>
        <w:fldChar w:fldCharType="end"/>
      </w:r>
      <w:r>
        <w:rPr>
          <w:rFonts w:hint="eastAsia"/>
        </w:rPr>
        <w:t xml:space="preserve">  </w:t>
      </w:r>
      <w:r>
        <w:t>2019届</w:t>
      </w:r>
      <w:r>
        <w:rPr>
          <w:rFonts w:hint="eastAsia"/>
        </w:rPr>
        <w:t>毕业生</w:t>
      </w:r>
      <w:r>
        <w:t>职业期待吻合</w:t>
      </w:r>
      <w:r>
        <w:rPr>
          <w:rFonts w:hint="eastAsia"/>
        </w:rPr>
        <w:t>情况分布</w:t>
      </w:r>
      <w:bookmarkEnd w:id="164"/>
    </w:p>
    <w:p>
      <w:pPr>
        <w:pStyle w:val="132"/>
        <w:ind w:firstLine="360"/>
        <w:jc w:val="both"/>
      </w:pPr>
      <w:r>
        <w:rPr>
          <w:rFonts w:hint="eastAsia"/>
        </w:rPr>
        <w:t>注：职业期待吻合度评价维度包括“很符合”、“比较符合”、“一般”、“比较不符合”、“很不符合”和“无法评价”；其中，吻合度为选择“很符合”、“比较符合”和“一般”的人数占“此题总人数—无法评价人数”的比例。</w:t>
      </w:r>
    </w:p>
    <w:p>
      <w:pPr>
        <w:pStyle w:val="119"/>
        <w:ind w:firstLine="360"/>
        <w:rPr>
          <w:color w:val="4472C4" w:themeColor="accent1"/>
          <w14:textFill>
            <w14:solidFill>
              <w14:schemeClr w14:val="accent1"/>
            </w14:solidFill>
          </w14:textFill>
        </w:rPr>
      </w:pPr>
      <w:r>
        <w:rPr>
          <w:rFonts w:hint="eastAsia"/>
          <w:color w:val="4472C4" w:themeColor="accent1"/>
          <w14:textFill>
            <w14:solidFill>
              <w14:schemeClr w14:val="accent1"/>
            </w14:solidFill>
          </w14:textFill>
        </w:rPr>
        <w:t>数据来源：第三方机构新锦成</w:t>
      </w:r>
      <w:r>
        <w:rPr>
          <w:color w:val="4472C4" w:themeColor="accent1"/>
          <w14:textFill>
            <w14:solidFill>
              <w14:schemeClr w14:val="accent1"/>
            </w14:solidFill>
          </w14:textFill>
        </w:rPr>
        <w:t>-2019届</w:t>
      </w:r>
      <w:r>
        <w:rPr>
          <w:rFonts w:hint="eastAsia"/>
          <w:color w:val="4472C4" w:themeColor="accent1"/>
          <w14:textFill>
            <w14:solidFill>
              <w14:schemeClr w14:val="accent1"/>
            </w14:solidFill>
          </w14:textFill>
        </w:rPr>
        <w:t>毕业生就业与培养质量调查。</w:t>
      </w:r>
    </w:p>
    <w:bookmarkEnd w:id="138"/>
    <w:bookmarkEnd w:id="139"/>
    <w:bookmarkEnd w:id="140"/>
    <w:p>
      <w:pPr>
        <w:pStyle w:val="142"/>
        <w:pBdr>
          <w:top w:val="none" w:color="auto" w:sz="0" w:space="0"/>
          <w:left w:val="none" w:color="auto" w:sz="0" w:space="0"/>
          <w:bottom w:val="none" w:color="auto" w:sz="0" w:space="0"/>
          <w:right w:val="none" w:color="auto" w:sz="0" w:space="0"/>
        </w:pBdr>
        <w:rPr>
          <w:color w:val="4472C4" w:themeColor="accent1"/>
          <w14:textFill>
            <w14:solidFill>
              <w14:schemeClr w14:val="accent1"/>
            </w14:solidFill>
          </w14:textFill>
        </w:rPr>
      </w:pPr>
      <w:bookmarkStart w:id="165" w:name="_Toc525725611"/>
      <w:bookmarkStart w:id="166" w:name="_Toc27601835"/>
      <w:r>
        <w:rPr>
          <w:rFonts w:hint="eastAsia"/>
          <w:color w:val="4472C4" w:themeColor="accent1"/>
          <w14:textFill>
            <w14:solidFill>
              <w14:schemeClr w14:val="accent1"/>
            </w14:solidFill>
          </w14:textFill>
        </w:rPr>
        <w:t>二、用人单位对毕业生的评价</w:t>
      </w:r>
      <w:bookmarkEnd w:id="165"/>
      <w:bookmarkEnd w:id="166"/>
    </w:p>
    <w:p>
      <w:pPr>
        <w:pStyle w:val="64"/>
        <w:spacing w:before="156" w:after="156"/>
      </w:pPr>
      <w:r>
        <w:rPr>
          <w:rFonts w:hint="eastAsia"/>
        </w:rPr>
        <w:t>将学校毕业生质量测量主体放到用人单位身上，能够比较真实地反映毕业生的质量，进而更加全面地反映学校人才培养过程中存在的问题。因此，建立毕业生质量外部测评体系，对于学校人才培养模式的改进和完善具有积极意义。</w:t>
      </w:r>
    </w:p>
    <w:p>
      <w:pPr>
        <w:pStyle w:val="136"/>
        <w:spacing w:before="156" w:beforeLines="50" w:after="156" w:afterLines="50"/>
        <w:ind w:firstLine="482"/>
      </w:pPr>
      <w:bookmarkStart w:id="167" w:name="_Hlk24282989"/>
      <w:r>
        <w:rPr>
          <w:rStyle w:val="193"/>
          <w:rFonts w:hint="eastAsia"/>
          <w:b/>
          <w:color w:val="4472C4" w:themeColor="accent1"/>
          <w14:textFill>
            <w14:solidFill>
              <w14:schemeClr w14:val="accent1"/>
            </w14:solidFill>
          </w14:textFill>
        </w:rPr>
        <w:t>用人单位对毕业生满意度：</w:t>
      </w:r>
      <w:r>
        <w:rPr>
          <w:rFonts w:hint="eastAsia"/>
        </w:rPr>
        <w:t>9</w:t>
      </w:r>
      <w:r>
        <w:t>9.43</w:t>
      </w:r>
      <w:r>
        <w:rPr>
          <w:rFonts w:hint="eastAsia"/>
        </w:rPr>
        <w:t>%的用人单位对学校毕业生的工作表现感到满意，其中评价为“满意”的占比相对较高，为</w:t>
      </w:r>
      <w:r>
        <w:t>49.28</w:t>
      </w:r>
      <w:r>
        <w:rPr>
          <w:rFonts w:hint="eastAsia"/>
        </w:rPr>
        <w:t>%。满意度均值为</w:t>
      </w:r>
      <w:r>
        <w:t>4.36</w:t>
      </w:r>
      <w:r>
        <w:rPr>
          <w:rFonts w:hint="eastAsia"/>
        </w:rPr>
        <w:t>（5分制），偏向于“满意”水平。</w:t>
      </w:r>
    </w:p>
    <w:bookmarkEnd w:id="167"/>
    <w:p>
      <w:pPr>
        <w:pStyle w:val="132"/>
        <w:ind w:firstLine="0" w:firstLineChars="0"/>
        <w:jc w:val="center"/>
      </w:pPr>
      <w:r>
        <w:drawing>
          <wp:inline distT="0" distB="0" distL="0" distR="0">
            <wp:extent cx="5399405" cy="2159635"/>
            <wp:effectExtent l="0" t="0" r="0" b="0"/>
            <wp:docPr id="46" name="图表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pStyle w:val="203"/>
        <w:spacing w:before="0" w:beforeLines="0" w:after="0" w:afterLines="0"/>
      </w:pPr>
      <w:bookmarkStart w:id="168" w:name="_Toc27002314"/>
      <w:r>
        <w:rPr>
          <w:rFonts w:hint="eastAsia"/>
        </w:rPr>
        <w:t xml:space="preserve">图3- </w:t>
      </w:r>
      <w:r>
        <w:fldChar w:fldCharType="begin"/>
      </w:r>
      <w:r>
        <w:instrText xml:space="preserve"> </w:instrText>
      </w:r>
      <w:r>
        <w:rPr>
          <w:rFonts w:hint="eastAsia"/>
        </w:rPr>
        <w:instrText xml:space="preserve">SEQ 图3- \* ARABIC</w:instrText>
      </w:r>
      <w:r>
        <w:instrText xml:space="preserve"> </w:instrText>
      </w:r>
      <w:r>
        <w:fldChar w:fldCharType="separate"/>
      </w:r>
      <w:r>
        <w:t>10</w:t>
      </w:r>
      <w:r>
        <w:fldChar w:fldCharType="end"/>
      </w:r>
      <w:r>
        <w:t xml:space="preserve">  用人单位对2019届</w:t>
      </w:r>
      <w:r>
        <w:rPr>
          <w:rFonts w:hint="eastAsia"/>
        </w:rPr>
        <w:t>毕业生的满意度</w:t>
      </w:r>
      <w:bookmarkEnd w:id="168"/>
    </w:p>
    <w:p>
      <w:pPr>
        <w:pStyle w:val="132"/>
        <w:ind w:firstLine="360"/>
        <w:jc w:val="both"/>
      </w:pPr>
      <w:r>
        <w:t>数据来源</w:t>
      </w:r>
      <w:r>
        <w:rPr>
          <w:rFonts w:hint="eastAsia"/>
        </w:rPr>
        <w:t>：第三方机构新锦成-201</w:t>
      </w:r>
      <w:r>
        <w:t>9</w:t>
      </w:r>
      <w:r>
        <w:rPr>
          <w:rFonts w:hint="eastAsia"/>
        </w:rPr>
        <w:t>届</w:t>
      </w:r>
      <w:r>
        <w:t>毕业生</w:t>
      </w:r>
      <w:r>
        <w:rPr>
          <w:rFonts w:hint="eastAsia"/>
        </w:rPr>
        <w:t>用人</w:t>
      </w:r>
      <w:r>
        <w:t>单位调查。</w:t>
      </w:r>
    </w:p>
    <w:p>
      <w:pPr>
        <w:pStyle w:val="136"/>
        <w:spacing w:before="156" w:beforeLines="50" w:after="156" w:afterLines="50"/>
        <w:ind w:firstLine="482"/>
        <w:rPr>
          <w:rStyle w:val="193"/>
          <w:b/>
          <w:color w:val="5B9BD5" w:themeColor="accent5"/>
          <w14:textFill>
            <w14:solidFill>
              <w14:schemeClr w14:val="accent5"/>
            </w14:solidFill>
          </w14:textFill>
        </w:rPr>
      </w:pPr>
      <w:bookmarkStart w:id="169" w:name="_Hlk24282978"/>
      <w:r>
        <w:rPr>
          <w:rStyle w:val="193"/>
          <w:rFonts w:hint="eastAsia"/>
          <w:b/>
          <w:color w:val="4472C4" w:themeColor="accent1"/>
          <w14:textFill>
            <w14:solidFill>
              <w14:schemeClr w14:val="accent1"/>
            </w14:solidFill>
          </w14:textFill>
        </w:rPr>
        <w:t>用人单位对毕业生能力素质的重要性评价：</w:t>
      </w:r>
      <w:r>
        <w:rPr>
          <w:rStyle w:val="193"/>
          <w:rFonts w:hint="eastAsia"/>
        </w:rPr>
        <w:t>用人单位认为学校201</w:t>
      </w:r>
      <w:r>
        <w:rPr>
          <w:rStyle w:val="193"/>
        </w:rPr>
        <w:t>9</w:t>
      </w:r>
      <w:r>
        <w:rPr>
          <w:rStyle w:val="193"/>
          <w:rFonts w:hint="eastAsia"/>
        </w:rPr>
        <w:t>届毕业生最重要的前三项能力素质是“学习能力”（85.22</w:t>
      </w:r>
      <w:r>
        <w:rPr>
          <w:rStyle w:val="193"/>
        </w:rPr>
        <w:t>%</w:t>
      </w:r>
      <w:r>
        <w:rPr>
          <w:rStyle w:val="193"/>
          <w:rFonts w:hint="eastAsia"/>
        </w:rPr>
        <w:t>）、“团队合作”（78.84%）、“专业知识和能力”（73.33%）。</w:t>
      </w:r>
    </w:p>
    <w:bookmarkEnd w:id="169"/>
    <w:p>
      <w:pPr>
        <w:pStyle w:val="132"/>
        <w:ind w:firstLine="0" w:firstLineChars="0"/>
        <w:jc w:val="center"/>
      </w:pPr>
      <w:r>
        <w:rPr>
          <w:rFonts w:hint="eastAsia"/>
        </w:rPr>
        <w:drawing>
          <wp:inline distT="0" distB="0" distL="0" distR="0">
            <wp:extent cx="5399405" cy="2159635"/>
            <wp:effectExtent l="0" t="0" r="0" b="0"/>
            <wp:docPr id="972" name="图表 9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pPr>
        <w:pStyle w:val="203"/>
        <w:spacing w:before="0" w:beforeLines="0" w:after="0" w:afterLines="0"/>
      </w:pPr>
      <w:r>
        <w:rPr>
          <w:rFonts w:hint="eastAsia"/>
        </w:rPr>
        <w:t xml:space="preserve">图3- </w:t>
      </w:r>
      <w:r>
        <w:fldChar w:fldCharType="begin"/>
      </w:r>
      <w:r>
        <w:instrText xml:space="preserve"> </w:instrText>
      </w:r>
      <w:r>
        <w:rPr>
          <w:rFonts w:hint="eastAsia"/>
        </w:rPr>
        <w:instrText xml:space="preserve">SEQ 图3- \* ARABIC</w:instrText>
      </w:r>
      <w:r>
        <w:instrText xml:space="preserve"> </w:instrText>
      </w:r>
      <w:r>
        <w:fldChar w:fldCharType="separate"/>
      </w:r>
      <w:r>
        <w:t>11</w:t>
      </w:r>
      <w:r>
        <w:fldChar w:fldCharType="end"/>
      </w:r>
      <w:r>
        <w:t xml:space="preserve">  用人单位</w:t>
      </w:r>
      <w:r>
        <w:rPr>
          <w:rFonts w:hint="eastAsia"/>
        </w:rPr>
        <w:t>对2</w:t>
      </w:r>
      <w:r>
        <w:t>019</w:t>
      </w:r>
      <w:r>
        <w:rPr>
          <w:rFonts w:hint="eastAsia"/>
        </w:rPr>
        <w:t>届毕业生能力素质的重要性评价</w:t>
      </w:r>
    </w:p>
    <w:p>
      <w:pPr>
        <w:pStyle w:val="132"/>
        <w:ind w:firstLine="360"/>
        <w:jc w:val="both"/>
      </w:pPr>
      <w:r>
        <w:t>注：</w:t>
      </w:r>
      <w:r>
        <w:rPr>
          <w:rFonts w:hint="eastAsia"/>
        </w:rPr>
        <w:t>该</w:t>
      </w:r>
      <w:r>
        <w:t>题目为多选题，</w:t>
      </w:r>
      <w:r>
        <w:rPr>
          <w:rFonts w:hint="eastAsia"/>
        </w:rPr>
        <w:t>因此选项</w:t>
      </w:r>
      <w:r>
        <w:t>的</w:t>
      </w:r>
      <w:r>
        <w:rPr>
          <w:rFonts w:hint="eastAsia"/>
        </w:rPr>
        <w:t>百分比之和不是100.00</w:t>
      </w:r>
      <w:r>
        <w:t>%。</w:t>
      </w:r>
    </w:p>
    <w:p>
      <w:pPr>
        <w:pStyle w:val="132"/>
        <w:ind w:firstLine="360"/>
        <w:jc w:val="both"/>
      </w:pPr>
      <w:r>
        <w:t>数据来源</w:t>
      </w:r>
      <w:r>
        <w:rPr>
          <w:rFonts w:hint="eastAsia"/>
        </w:rPr>
        <w:t>：第三方机构新锦成-201</w:t>
      </w:r>
      <w:r>
        <w:t>9</w:t>
      </w:r>
      <w:r>
        <w:rPr>
          <w:rFonts w:hint="eastAsia"/>
        </w:rPr>
        <w:t>届</w:t>
      </w:r>
      <w:r>
        <w:t>毕业生</w:t>
      </w:r>
      <w:r>
        <w:rPr>
          <w:rFonts w:hint="eastAsia"/>
        </w:rPr>
        <w:t>用人</w:t>
      </w:r>
      <w:r>
        <w:t>单位调查。</w:t>
      </w:r>
    </w:p>
    <w:p>
      <w:pPr>
        <w:pStyle w:val="136"/>
        <w:spacing w:before="156" w:beforeLines="50" w:after="156" w:afterLines="50"/>
        <w:ind w:firstLine="482"/>
        <w:rPr>
          <w:rStyle w:val="193"/>
          <w:bCs w:val="0"/>
          <w:color w:val="000000" w:themeColor="text1"/>
          <w14:textFill>
            <w14:solidFill>
              <w14:schemeClr w14:val="tx1"/>
            </w14:solidFill>
          </w14:textFill>
        </w:rPr>
      </w:pPr>
      <w:r>
        <w:rPr>
          <w:rStyle w:val="193"/>
          <w:rFonts w:hint="eastAsia"/>
          <w:b/>
          <w:color w:val="4472C4" w:themeColor="accent1"/>
          <w14:textFill>
            <w14:solidFill>
              <w14:schemeClr w14:val="accent1"/>
            </w14:solidFill>
          </w14:textFill>
        </w:rPr>
        <w:t>用人单位对毕业生能力素质的优势评价：</w:t>
      </w:r>
      <w:r>
        <w:rPr>
          <w:rStyle w:val="193"/>
          <w:rFonts w:hint="eastAsia"/>
          <w:bCs w:val="0"/>
          <w:color w:val="000000" w:themeColor="text1"/>
          <w14:textFill>
            <w14:solidFill>
              <w14:schemeClr w14:val="tx1"/>
            </w14:solidFill>
          </w14:textFill>
        </w:rPr>
        <w:t>用人单位认为学校201</w:t>
      </w:r>
      <w:r>
        <w:rPr>
          <w:rStyle w:val="193"/>
          <w:bCs w:val="0"/>
          <w:color w:val="000000" w:themeColor="text1"/>
          <w14:textFill>
            <w14:solidFill>
              <w14:schemeClr w14:val="tx1"/>
            </w14:solidFill>
          </w14:textFill>
        </w:rPr>
        <w:t>9</w:t>
      </w:r>
      <w:r>
        <w:rPr>
          <w:rStyle w:val="193"/>
          <w:rFonts w:hint="eastAsia"/>
          <w:bCs w:val="0"/>
          <w:color w:val="000000" w:themeColor="text1"/>
          <w14:textFill>
            <w14:solidFill>
              <w14:schemeClr w14:val="tx1"/>
            </w14:solidFill>
          </w14:textFill>
        </w:rPr>
        <w:t>届毕业生“学习能力”</w:t>
      </w:r>
      <w:r>
        <w:rPr>
          <w:rStyle w:val="193"/>
          <w:bCs w:val="0"/>
          <w:color w:val="000000" w:themeColor="text1"/>
          <w14:textFill>
            <w14:solidFill>
              <w14:schemeClr w14:val="tx1"/>
            </w14:solidFill>
          </w14:textFill>
        </w:rPr>
        <w:t>较强</w:t>
      </w:r>
      <w:r>
        <w:rPr>
          <w:rStyle w:val="193"/>
          <w:rFonts w:hint="eastAsia"/>
          <w:bCs w:val="0"/>
          <w:color w:val="000000" w:themeColor="text1"/>
          <w14:textFill>
            <w14:solidFill>
              <w14:schemeClr w14:val="tx1"/>
            </w14:solidFill>
          </w14:textFill>
        </w:rPr>
        <w:t>，所占比例为75.59</w:t>
      </w:r>
      <w:r>
        <w:rPr>
          <w:rStyle w:val="193"/>
          <w:bCs w:val="0"/>
          <w:color w:val="000000" w:themeColor="text1"/>
          <w14:textFill>
            <w14:solidFill>
              <w14:schemeClr w14:val="tx1"/>
            </w14:solidFill>
          </w14:textFill>
        </w:rPr>
        <w:t>%</w:t>
      </w:r>
      <w:r>
        <w:rPr>
          <w:rStyle w:val="193"/>
          <w:rFonts w:hint="eastAsia"/>
          <w:bCs w:val="0"/>
          <w:color w:val="000000" w:themeColor="text1"/>
          <w14:textFill>
            <w14:solidFill>
              <w14:schemeClr w14:val="tx1"/>
            </w14:solidFill>
          </w14:textFill>
        </w:rPr>
        <w:t>；</w:t>
      </w:r>
      <w:r>
        <w:rPr>
          <w:rStyle w:val="193"/>
          <w:bCs w:val="0"/>
          <w:color w:val="000000" w:themeColor="text1"/>
          <w14:textFill>
            <w14:solidFill>
              <w14:schemeClr w14:val="tx1"/>
            </w14:solidFill>
          </w14:textFill>
        </w:rPr>
        <w:t>其次</w:t>
      </w:r>
      <w:r>
        <w:rPr>
          <w:rStyle w:val="193"/>
          <w:rFonts w:hint="eastAsia"/>
          <w:bCs w:val="0"/>
          <w:color w:val="000000" w:themeColor="text1"/>
          <w14:textFill>
            <w14:solidFill>
              <w14:schemeClr w14:val="tx1"/>
            </w14:solidFill>
          </w14:textFill>
        </w:rPr>
        <w:t>是“团队合作”（66.47%）及“诚信坚韧”（59.41%）。</w:t>
      </w:r>
    </w:p>
    <w:p>
      <w:pPr>
        <w:pStyle w:val="132"/>
        <w:ind w:firstLine="0" w:firstLineChars="0"/>
        <w:jc w:val="center"/>
      </w:pPr>
      <w:r>
        <w:rPr>
          <w:rFonts w:hint="eastAsia"/>
        </w:rPr>
        <w:drawing>
          <wp:inline distT="0" distB="0" distL="0" distR="0">
            <wp:extent cx="5399405" cy="1979930"/>
            <wp:effectExtent l="0" t="0" r="0" b="1270"/>
            <wp:docPr id="980" name="图表 9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pStyle w:val="203"/>
        <w:spacing w:before="0" w:beforeLines="0" w:after="0" w:afterLines="0"/>
      </w:pPr>
      <w:r>
        <w:rPr>
          <w:rFonts w:hint="eastAsia"/>
        </w:rPr>
        <w:t xml:space="preserve">图3- </w:t>
      </w:r>
      <w:r>
        <w:fldChar w:fldCharType="begin"/>
      </w:r>
      <w:r>
        <w:instrText xml:space="preserve"> </w:instrText>
      </w:r>
      <w:r>
        <w:rPr>
          <w:rFonts w:hint="eastAsia"/>
        </w:rPr>
        <w:instrText xml:space="preserve">SEQ 图3- \* ARABIC</w:instrText>
      </w:r>
      <w:r>
        <w:instrText xml:space="preserve"> </w:instrText>
      </w:r>
      <w:r>
        <w:fldChar w:fldCharType="separate"/>
      </w:r>
      <w:r>
        <w:t>12</w:t>
      </w:r>
      <w:r>
        <w:fldChar w:fldCharType="end"/>
      </w:r>
      <w:r>
        <w:t xml:space="preserve">  用人单位</w:t>
      </w:r>
      <w:r>
        <w:rPr>
          <w:rFonts w:hint="eastAsia"/>
        </w:rPr>
        <w:t>对</w:t>
      </w:r>
      <w:r>
        <w:t>2019届</w:t>
      </w:r>
      <w:r>
        <w:rPr>
          <w:rFonts w:hint="eastAsia"/>
        </w:rPr>
        <w:t>毕业生能力素质</w:t>
      </w:r>
      <w:r>
        <w:t>的</w:t>
      </w:r>
      <w:r>
        <w:rPr>
          <w:rFonts w:hint="eastAsia"/>
        </w:rPr>
        <w:t>优势评价</w:t>
      </w:r>
    </w:p>
    <w:p>
      <w:pPr>
        <w:pStyle w:val="132"/>
        <w:ind w:firstLine="360"/>
        <w:jc w:val="both"/>
      </w:pPr>
      <w:r>
        <w:t>注：</w:t>
      </w:r>
      <w:r>
        <w:rPr>
          <w:rFonts w:hint="eastAsia"/>
        </w:rPr>
        <w:t>该</w:t>
      </w:r>
      <w:r>
        <w:t>题目为多选题，</w:t>
      </w:r>
      <w:r>
        <w:rPr>
          <w:rFonts w:hint="eastAsia"/>
        </w:rPr>
        <w:t>因此选项</w:t>
      </w:r>
      <w:r>
        <w:t>的</w:t>
      </w:r>
      <w:r>
        <w:rPr>
          <w:rFonts w:hint="eastAsia"/>
        </w:rPr>
        <w:t>百分比之和不是100.00</w:t>
      </w:r>
      <w:r>
        <w:t>%。</w:t>
      </w:r>
    </w:p>
    <w:p>
      <w:pPr>
        <w:pStyle w:val="132"/>
        <w:ind w:firstLine="360"/>
        <w:jc w:val="both"/>
      </w:pPr>
      <w:r>
        <w:t>数据来源</w:t>
      </w:r>
      <w:r>
        <w:rPr>
          <w:rFonts w:hint="eastAsia"/>
        </w:rPr>
        <w:t>：第三方机构新锦成-201</w:t>
      </w:r>
      <w:r>
        <w:t>9</w:t>
      </w:r>
      <w:r>
        <w:rPr>
          <w:rFonts w:hint="eastAsia"/>
        </w:rPr>
        <w:t>届</w:t>
      </w:r>
      <w:r>
        <w:t>毕业生</w:t>
      </w:r>
      <w:r>
        <w:rPr>
          <w:rFonts w:hint="eastAsia"/>
        </w:rPr>
        <w:t>用人</w:t>
      </w:r>
      <w:r>
        <w:t>单位调查。</w:t>
      </w:r>
    </w:p>
    <w:p>
      <w:pPr>
        <w:pStyle w:val="136"/>
        <w:spacing w:before="156" w:beforeLines="50" w:after="156" w:afterLines="50"/>
        <w:ind w:firstLine="482"/>
        <w:rPr>
          <w:rStyle w:val="193"/>
          <w:bCs w:val="0"/>
          <w:color w:val="000000" w:themeColor="text1"/>
          <w14:textFill>
            <w14:solidFill>
              <w14:schemeClr w14:val="tx1"/>
            </w14:solidFill>
          </w14:textFill>
        </w:rPr>
      </w:pPr>
      <w:bookmarkStart w:id="170" w:name="_Hlk24282963"/>
      <w:r>
        <w:rPr>
          <w:rStyle w:val="193"/>
          <w:rFonts w:hint="eastAsia"/>
          <w:b/>
          <w:color w:val="4472C4" w:themeColor="accent1"/>
          <w14:textFill>
            <w14:solidFill>
              <w14:schemeClr w14:val="accent1"/>
            </w14:solidFill>
          </w14:textFill>
        </w:rPr>
        <w:t>需加强的方面：</w:t>
      </w:r>
      <w:r>
        <w:rPr>
          <w:rStyle w:val="193"/>
          <w:bCs w:val="0"/>
          <w:color w:val="000000" w:themeColor="text1"/>
          <w14:textFill>
            <w14:solidFill>
              <w14:schemeClr w14:val="tx1"/>
            </w14:solidFill>
          </w14:textFill>
        </w:rPr>
        <w:t>用人单位认为</w:t>
      </w:r>
      <w:r>
        <w:rPr>
          <w:rStyle w:val="193"/>
          <w:rFonts w:hint="eastAsia"/>
          <w:bCs w:val="0"/>
          <w:color w:val="000000" w:themeColor="text1"/>
          <w14:textFill>
            <w14:solidFill>
              <w14:schemeClr w14:val="tx1"/>
            </w14:solidFill>
          </w14:textFill>
        </w:rPr>
        <w:t>本校毕业生</w:t>
      </w:r>
      <w:r>
        <w:rPr>
          <w:rStyle w:val="193"/>
          <w:bCs w:val="0"/>
          <w:color w:val="000000" w:themeColor="text1"/>
          <w14:textFill>
            <w14:solidFill>
              <w14:schemeClr w14:val="tx1"/>
            </w14:solidFill>
          </w14:textFill>
        </w:rPr>
        <w:t>应</w:t>
      </w:r>
      <w:r>
        <w:rPr>
          <w:rStyle w:val="193"/>
          <w:rFonts w:hint="eastAsia"/>
          <w:bCs w:val="0"/>
          <w:color w:val="000000" w:themeColor="text1"/>
          <w14:textFill>
            <w14:solidFill>
              <w14:schemeClr w14:val="tx1"/>
            </w14:solidFill>
          </w14:textFill>
        </w:rPr>
        <w:t>注重加强“创新能力”（</w:t>
      </w:r>
      <w:r>
        <w:rPr>
          <w:rStyle w:val="193"/>
          <w:bCs w:val="0"/>
          <w:color w:val="000000" w:themeColor="text1"/>
          <w14:textFill>
            <w14:solidFill>
              <w14:schemeClr w14:val="tx1"/>
            </w14:solidFill>
          </w14:textFill>
        </w:rPr>
        <w:t>47.</w:t>
      </w:r>
      <w:r>
        <w:rPr>
          <w:rStyle w:val="193"/>
          <w:rFonts w:hint="eastAsia"/>
          <w:bCs w:val="0"/>
          <w:color w:val="000000" w:themeColor="text1"/>
          <w14:textFill>
            <w14:solidFill>
              <w14:schemeClr w14:val="tx1"/>
            </w14:solidFill>
          </w14:textFill>
        </w:rPr>
        <w:t>16</w:t>
      </w:r>
      <w:r>
        <w:rPr>
          <w:rStyle w:val="193"/>
          <w:bCs w:val="0"/>
          <w:color w:val="000000" w:themeColor="text1"/>
          <w14:textFill>
            <w14:solidFill>
              <w14:schemeClr w14:val="tx1"/>
            </w14:solidFill>
          </w14:textFill>
        </w:rPr>
        <w:t>%）、</w:t>
      </w:r>
      <w:r>
        <w:rPr>
          <w:rStyle w:val="193"/>
          <w:rFonts w:hint="eastAsia"/>
          <w:bCs w:val="0"/>
          <w:color w:val="000000" w:themeColor="text1"/>
          <w14:textFill>
            <w14:solidFill>
              <w14:schemeClr w14:val="tx1"/>
            </w14:solidFill>
          </w14:textFill>
        </w:rPr>
        <w:t>“专业知识和能力”（39.40</w:t>
      </w:r>
      <w:r>
        <w:rPr>
          <w:rStyle w:val="193"/>
          <w:bCs w:val="0"/>
          <w:color w:val="000000" w:themeColor="text1"/>
          <w14:textFill>
            <w14:solidFill>
              <w14:schemeClr w14:val="tx1"/>
            </w14:solidFill>
          </w14:textFill>
        </w:rPr>
        <w:t>%）和</w:t>
      </w:r>
      <w:r>
        <w:rPr>
          <w:rStyle w:val="193"/>
          <w:rFonts w:hint="eastAsia"/>
          <w:bCs w:val="0"/>
          <w:color w:val="000000" w:themeColor="text1"/>
          <w14:textFill>
            <w14:solidFill>
              <w14:schemeClr w14:val="tx1"/>
            </w14:solidFill>
          </w14:textFill>
        </w:rPr>
        <w:t>“组织领导”（37.31</w:t>
      </w:r>
      <w:r>
        <w:rPr>
          <w:rStyle w:val="193"/>
          <w:bCs w:val="0"/>
          <w:color w:val="000000" w:themeColor="text1"/>
          <w14:textFill>
            <w14:solidFill>
              <w14:schemeClr w14:val="tx1"/>
            </w14:solidFill>
          </w14:textFill>
        </w:rPr>
        <w:t>%）</w:t>
      </w:r>
      <w:r>
        <w:rPr>
          <w:rStyle w:val="193"/>
          <w:rFonts w:hint="eastAsia"/>
          <w:bCs w:val="0"/>
          <w:color w:val="000000" w:themeColor="text1"/>
          <w14:textFill>
            <w14:solidFill>
              <w14:schemeClr w14:val="tx1"/>
            </w14:solidFill>
          </w14:textFill>
        </w:rPr>
        <w:t>这三方面的能力素质</w:t>
      </w:r>
      <w:r>
        <w:rPr>
          <w:rStyle w:val="193"/>
          <w:bCs w:val="0"/>
          <w:color w:val="000000" w:themeColor="text1"/>
          <w14:textFill>
            <w14:solidFill>
              <w14:schemeClr w14:val="tx1"/>
            </w14:solidFill>
          </w14:textFill>
        </w:rPr>
        <w:t>。</w:t>
      </w:r>
    </w:p>
    <w:bookmarkEnd w:id="170"/>
    <w:p>
      <w:pPr>
        <w:pStyle w:val="132"/>
        <w:ind w:firstLine="0" w:firstLineChars="0"/>
        <w:jc w:val="center"/>
      </w:pPr>
      <w:r>
        <w:rPr>
          <w:rFonts w:hint="eastAsia"/>
        </w:rPr>
        <w:drawing>
          <wp:inline distT="0" distB="0" distL="0" distR="0">
            <wp:extent cx="5399405" cy="2159635"/>
            <wp:effectExtent l="0" t="0" r="0" b="0"/>
            <wp:docPr id="987" name="图表 9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pPr>
        <w:pStyle w:val="203"/>
        <w:spacing w:before="0" w:beforeLines="0" w:after="0" w:afterLines="0"/>
      </w:pPr>
      <w:bookmarkStart w:id="171" w:name="_Toc521678884"/>
      <w:r>
        <w:rPr>
          <w:rFonts w:hint="eastAsia"/>
        </w:rPr>
        <w:t xml:space="preserve">图3- </w:t>
      </w:r>
      <w:r>
        <w:fldChar w:fldCharType="begin"/>
      </w:r>
      <w:r>
        <w:instrText xml:space="preserve"> </w:instrText>
      </w:r>
      <w:r>
        <w:rPr>
          <w:rFonts w:hint="eastAsia"/>
        </w:rPr>
        <w:instrText xml:space="preserve">SEQ 图3- \* ARABIC</w:instrText>
      </w:r>
      <w:r>
        <w:instrText xml:space="preserve"> </w:instrText>
      </w:r>
      <w:r>
        <w:fldChar w:fldCharType="separate"/>
      </w:r>
      <w:r>
        <w:t>13</w:t>
      </w:r>
      <w:r>
        <w:fldChar w:fldCharType="end"/>
      </w:r>
      <w:r>
        <w:t xml:space="preserve">  用人单位</w:t>
      </w:r>
      <w:r>
        <w:rPr>
          <w:rFonts w:hint="eastAsia"/>
        </w:rPr>
        <w:t>认为</w:t>
      </w:r>
      <w:r>
        <w:t>2019届</w:t>
      </w:r>
      <w:r>
        <w:rPr>
          <w:rFonts w:hint="eastAsia"/>
        </w:rPr>
        <w:t>毕业生需加强的能力素质</w:t>
      </w:r>
      <w:bookmarkEnd w:id="171"/>
    </w:p>
    <w:p>
      <w:pPr>
        <w:pStyle w:val="132"/>
        <w:ind w:firstLine="360"/>
        <w:jc w:val="both"/>
      </w:pPr>
      <w:r>
        <w:t>注：</w:t>
      </w:r>
      <w:r>
        <w:rPr>
          <w:rFonts w:hint="eastAsia"/>
        </w:rPr>
        <w:t>该</w:t>
      </w:r>
      <w:r>
        <w:t>题目为多选题，</w:t>
      </w:r>
      <w:r>
        <w:rPr>
          <w:rFonts w:hint="eastAsia"/>
        </w:rPr>
        <w:t>因此选项</w:t>
      </w:r>
      <w:r>
        <w:t>的</w:t>
      </w:r>
      <w:r>
        <w:rPr>
          <w:rFonts w:hint="eastAsia"/>
        </w:rPr>
        <w:t>百分比之和不是100.00</w:t>
      </w:r>
      <w:r>
        <w:t>%。</w:t>
      </w:r>
    </w:p>
    <w:p>
      <w:pPr>
        <w:pStyle w:val="132"/>
        <w:ind w:firstLine="360"/>
        <w:jc w:val="both"/>
      </w:pPr>
      <w:r>
        <w:t>数据来源</w:t>
      </w:r>
      <w:r>
        <w:rPr>
          <w:rFonts w:hint="eastAsia"/>
        </w:rPr>
        <w:t>：第三方机构新锦成-201</w:t>
      </w:r>
      <w:r>
        <w:t>9</w:t>
      </w:r>
      <w:r>
        <w:rPr>
          <w:rFonts w:hint="eastAsia"/>
        </w:rPr>
        <w:t>届</w:t>
      </w:r>
      <w:r>
        <w:t>毕业生</w:t>
      </w:r>
      <w:r>
        <w:rPr>
          <w:rFonts w:hint="eastAsia"/>
        </w:rPr>
        <w:t>用人</w:t>
      </w:r>
      <w:r>
        <w:t xml:space="preserve">单位调查。 </w:t>
      </w:r>
    </w:p>
    <w:p>
      <w:pPr>
        <w:pStyle w:val="132"/>
        <w:spacing w:after="156" w:afterLines="50"/>
        <w:ind w:firstLine="0" w:firstLineChars="0"/>
      </w:pPr>
      <w:r>
        <w:br w:type="page"/>
      </w:r>
    </w:p>
    <w:p>
      <w:pPr>
        <w:pStyle w:val="169"/>
        <w:spacing w:before="156" w:after="156" w:afterLines="50"/>
      </w:pPr>
      <w:bookmarkStart w:id="172" w:name="_Toc16673841"/>
      <w:bookmarkStart w:id="173" w:name="_Toc27601836"/>
      <w:r>
        <w:rPr>
          <w:rFonts w:hint="eastAsia"/>
        </w:rPr>
        <w:t>第四篇</w:t>
      </w:r>
      <w:r>
        <w:t>：就业发展趋势分析</w:t>
      </w:r>
      <w:bookmarkEnd w:id="172"/>
      <w:bookmarkEnd w:id="173"/>
    </w:p>
    <w:p>
      <w:pPr>
        <w:pStyle w:val="142"/>
        <w:pBdr>
          <w:top w:val="none" w:color="auto" w:sz="0" w:space="0"/>
          <w:left w:val="none" w:color="auto" w:sz="0" w:space="0"/>
          <w:bottom w:val="none" w:color="auto" w:sz="0" w:space="0"/>
          <w:right w:val="none" w:color="auto" w:sz="0" w:space="0"/>
        </w:pBdr>
        <w:rPr>
          <w:color w:val="4472C4" w:themeColor="accent1"/>
          <w14:textFill>
            <w14:solidFill>
              <w14:schemeClr w14:val="accent1"/>
            </w14:solidFill>
          </w14:textFill>
        </w:rPr>
      </w:pPr>
      <w:bookmarkStart w:id="174" w:name="_Toc16673842"/>
      <w:bookmarkStart w:id="175" w:name="_Toc27601837"/>
      <w:r>
        <w:rPr>
          <w:rFonts w:hint="eastAsia"/>
          <w:color w:val="4472C4" w:themeColor="accent1"/>
          <w14:textFill>
            <w14:solidFill>
              <w14:schemeClr w14:val="accent1"/>
            </w14:solidFill>
          </w14:textFill>
        </w:rPr>
        <w:t>一、</w:t>
      </w:r>
      <w:bookmarkEnd w:id="174"/>
      <w:r>
        <w:rPr>
          <w:rFonts w:hint="eastAsia"/>
          <w:color w:val="4472C4" w:themeColor="accent1"/>
          <w14:textFill>
            <w14:solidFill>
              <w14:schemeClr w14:val="accent1"/>
            </w14:solidFill>
          </w14:textFill>
        </w:rPr>
        <w:t>毕业生就业率稳定且保持在较高水平</w:t>
      </w:r>
      <w:bookmarkEnd w:id="175"/>
    </w:p>
    <w:p>
      <w:pPr>
        <w:pStyle w:val="199"/>
        <w:spacing w:before="156" w:beforeLines="50" w:after="156" w:afterLines="50"/>
        <w:ind w:firstLine="480"/>
      </w:pPr>
      <w:r>
        <w:rPr>
          <w:rFonts w:hint="eastAsia"/>
        </w:rPr>
        <w:t>学校历来重视毕业生的就业工作，将实现毕业生的充分就业和高质量就业作为工作重心。如下图所示</w:t>
      </w:r>
      <w:r>
        <w:t>，</w:t>
      </w:r>
      <w:r>
        <w:rPr>
          <w:rFonts w:hint="eastAsia"/>
        </w:rPr>
        <w:t>近三届</w:t>
      </w:r>
      <w:r>
        <w:t>毕业生</w:t>
      </w:r>
      <w:r>
        <w:rPr>
          <w:rFonts w:hint="eastAsia"/>
        </w:rPr>
        <w:t>规模逐年扩大，就业率呈稳定上升趋势，且就业率始终保持在</w:t>
      </w:r>
      <w:r>
        <w:t>较高水平，</w:t>
      </w:r>
      <w:r>
        <w:rPr>
          <w:rFonts w:hint="eastAsia"/>
        </w:rPr>
        <w:t>均在9</w:t>
      </w:r>
      <w:r>
        <w:t>6.00</w:t>
      </w:r>
      <w:r>
        <w:rPr>
          <w:rFonts w:hint="eastAsia"/>
        </w:rPr>
        <w:t>%以上，就业状况</w:t>
      </w:r>
      <w:r>
        <w:t>良好</w:t>
      </w:r>
      <w:r>
        <w:rPr>
          <w:rFonts w:hint="eastAsia"/>
        </w:rPr>
        <w:t>。</w:t>
      </w:r>
    </w:p>
    <w:p>
      <w:pPr>
        <w:jc w:val="center"/>
        <w:rPr>
          <w:rFonts w:ascii="宋体" w:hAnsi="宋体"/>
        </w:rPr>
      </w:pPr>
      <w:r>
        <w:rPr>
          <w:rFonts w:ascii="宋体" w:hAnsi="宋体"/>
        </w:rPr>
        <w:drawing>
          <wp:inline distT="0" distB="0" distL="0" distR="0">
            <wp:extent cx="5399405" cy="2159635"/>
            <wp:effectExtent l="0" t="0" r="0" b="0"/>
            <wp:docPr id="911" name="图表 9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pPr>
        <w:pStyle w:val="203"/>
        <w:spacing w:before="0" w:beforeLines="0" w:after="0" w:afterLines="0"/>
      </w:pPr>
      <w:bookmarkStart w:id="176" w:name="_Toc27002315"/>
      <w:bookmarkStart w:id="177" w:name="_Toc16673948"/>
      <w:r>
        <w:rPr>
          <w:rFonts w:hint="eastAsia"/>
        </w:rPr>
        <w:t xml:space="preserve">图4- </w:t>
      </w:r>
      <w:r>
        <w:fldChar w:fldCharType="begin"/>
      </w:r>
      <w:r>
        <w:instrText xml:space="preserve"> </w:instrText>
      </w:r>
      <w:r>
        <w:rPr>
          <w:rFonts w:hint="eastAsia"/>
        </w:rPr>
        <w:instrText xml:space="preserve">SEQ 图4- \* ARABIC</w:instrText>
      </w:r>
      <w:r>
        <w:instrText xml:space="preserve"> </w:instrText>
      </w:r>
      <w:r>
        <w:fldChar w:fldCharType="separate"/>
      </w:r>
      <w:r>
        <w:t>1</w:t>
      </w:r>
      <w:r>
        <w:fldChar w:fldCharType="end"/>
      </w:r>
      <w:r>
        <w:t xml:space="preserve">  </w:t>
      </w:r>
      <w:r>
        <w:rPr>
          <w:rFonts w:hint="eastAsia"/>
        </w:rPr>
        <w:t>201</w:t>
      </w:r>
      <w:r>
        <w:t>7</w:t>
      </w:r>
      <w:r>
        <w:rPr>
          <w:rFonts w:hint="eastAsia"/>
        </w:rPr>
        <w:t>-2019届毕业生规模及就业率趋势变化</w:t>
      </w:r>
      <w:bookmarkEnd w:id="176"/>
      <w:bookmarkEnd w:id="177"/>
    </w:p>
    <w:p>
      <w:pPr>
        <w:pStyle w:val="119"/>
        <w:ind w:firstLine="360"/>
        <w:rPr>
          <w:color w:val="4472C4" w:themeColor="accent1"/>
          <w14:textFill>
            <w14:solidFill>
              <w14:schemeClr w14:val="accent1"/>
            </w14:solidFill>
          </w14:textFill>
        </w:rPr>
      </w:pPr>
      <w:r>
        <w:rPr>
          <w:rFonts w:hint="eastAsia"/>
          <w:color w:val="4472C4" w:themeColor="accent1"/>
          <w14:textFill>
            <w14:solidFill>
              <w14:schemeClr w14:val="accent1"/>
            </w14:solidFill>
          </w14:textFill>
        </w:rPr>
        <w:t>数据来源</w:t>
      </w:r>
      <w:r>
        <w:rPr>
          <w:color w:val="4472C4" w:themeColor="accent1"/>
          <w14:textFill>
            <w14:solidFill>
              <w14:schemeClr w14:val="accent1"/>
            </w14:solidFill>
          </w14:textFill>
        </w:rPr>
        <w:t>：</w:t>
      </w:r>
      <w:r>
        <w:rPr>
          <w:rFonts w:hint="eastAsia"/>
          <w:color w:val="4472C4" w:themeColor="accent1"/>
          <w14:textFill>
            <w14:solidFill>
              <w14:schemeClr w14:val="accent1"/>
            </w14:solidFill>
          </w14:textFill>
        </w:rPr>
        <w:t>1.201</w:t>
      </w:r>
      <w:r>
        <w:rPr>
          <w:color w:val="4472C4" w:themeColor="accent1"/>
          <w14:textFill>
            <w14:solidFill>
              <w14:schemeClr w14:val="accent1"/>
            </w14:solidFill>
          </w14:textFill>
        </w:rPr>
        <w:t>7</w:t>
      </w:r>
      <w:r>
        <w:rPr>
          <w:rFonts w:hint="eastAsia"/>
          <w:color w:val="4472C4" w:themeColor="accent1"/>
          <w14:textFill>
            <w14:solidFill>
              <w14:schemeClr w14:val="accent1"/>
            </w14:solidFill>
          </w14:textFill>
        </w:rPr>
        <w:t>和</w:t>
      </w:r>
      <w:r>
        <w:rPr>
          <w:color w:val="4472C4" w:themeColor="accent1"/>
          <w14:textFill>
            <w14:solidFill>
              <w14:schemeClr w14:val="accent1"/>
            </w14:solidFill>
          </w14:textFill>
        </w:rPr>
        <w:t>2018</w:t>
      </w:r>
      <w:r>
        <w:rPr>
          <w:rFonts w:hint="eastAsia"/>
          <w:color w:val="4472C4" w:themeColor="accent1"/>
          <w14:textFill>
            <w14:solidFill>
              <w14:schemeClr w14:val="accent1"/>
            </w14:solidFill>
          </w14:textFill>
        </w:rPr>
        <w:t>届</w:t>
      </w:r>
      <w:r>
        <w:rPr>
          <w:color w:val="4472C4" w:themeColor="accent1"/>
          <w14:textFill>
            <w14:solidFill>
              <w14:schemeClr w14:val="accent1"/>
            </w14:solidFill>
          </w14:textFill>
        </w:rPr>
        <w:t>数据来自《</w:t>
      </w:r>
      <w:r>
        <w:rPr>
          <w:rFonts w:hint="eastAsia"/>
          <w:color w:val="4472C4" w:themeColor="accent1"/>
          <w14:textFill>
            <w14:solidFill>
              <w14:schemeClr w14:val="accent1"/>
            </w14:solidFill>
          </w14:textFill>
        </w:rPr>
        <w:t>皖西学院201</w:t>
      </w:r>
      <w:r>
        <w:rPr>
          <w:color w:val="4472C4" w:themeColor="accent1"/>
          <w14:textFill>
            <w14:solidFill>
              <w14:schemeClr w14:val="accent1"/>
            </w14:solidFill>
          </w14:textFill>
        </w:rPr>
        <w:t>8</w:t>
      </w:r>
      <w:r>
        <w:rPr>
          <w:rFonts w:hint="eastAsia"/>
          <w:color w:val="4472C4" w:themeColor="accent1"/>
          <w14:textFill>
            <w14:solidFill>
              <w14:schemeClr w14:val="accent1"/>
            </w14:solidFill>
          </w14:textFill>
        </w:rPr>
        <w:t>届</w:t>
      </w:r>
      <w:r>
        <w:rPr>
          <w:color w:val="4472C4" w:themeColor="accent1"/>
          <w14:textFill>
            <w14:solidFill>
              <w14:schemeClr w14:val="accent1"/>
            </w14:solidFill>
          </w14:textFill>
        </w:rPr>
        <w:t>毕业生就业质量年度报告》</w:t>
      </w:r>
      <w:r>
        <w:rPr>
          <w:rFonts w:hint="eastAsia"/>
          <w:color w:val="4472C4" w:themeColor="accent1"/>
          <w14:textFill>
            <w14:solidFill>
              <w14:schemeClr w14:val="accent1"/>
            </w14:solidFill>
          </w14:textFill>
        </w:rPr>
        <w:t>；</w:t>
      </w:r>
    </w:p>
    <w:p>
      <w:pPr>
        <w:pStyle w:val="132"/>
        <w:ind w:firstLine="360"/>
      </w:pPr>
      <w:r>
        <w:rPr>
          <w:rFonts w:hint="eastAsia"/>
        </w:rPr>
        <w:t xml:space="preserve">   </w:t>
      </w:r>
      <w:r>
        <w:t xml:space="preserve">      </w:t>
      </w:r>
      <w:r>
        <w:rPr>
          <w:rFonts w:hint="eastAsia"/>
        </w:rPr>
        <w:t xml:space="preserve"> 2.</w:t>
      </w:r>
      <w:r>
        <w:t>2019</w:t>
      </w:r>
      <w:r>
        <w:rPr>
          <w:rFonts w:hint="eastAsia"/>
        </w:rPr>
        <w:t>届</w:t>
      </w:r>
      <w:r>
        <w:t>数据来自</w:t>
      </w:r>
      <w:r>
        <w:rPr>
          <w:rFonts w:hint="eastAsia"/>
        </w:rPr>
        <w:t>安徽省教育厅就业系统。</w:t>
      </w:r>
    </w:p>
    <w:p>
      <w:pPr>
        <w:pStyle w:val="142"/>
        <w:pBdr>
          <w:top w:val="none" w:color="auto" w:sz="0" w:space="0"/>
          <w:left w:val="none" w:color="auto" w:sz="0" w:space="0"/>
          <w:bottom w:val="none" w:color="auto" w:sz="0" w:space="0"/>
          <w:right w:val="none" w:color="auto" w:sz="0" w:space="0"/>
        </w:pBdr>
        <w:rPr>
          <w:color w:val="4472C4" w:themeColor="accent1"/>
          <w14:textFill>
            <w14:solidFill>
              <w14:schemeClr w14:val="accent1"/>
            </w14:solidFill>
          </w14:textFill>
        </w:rPr>
      </w:pPr>
      <w:bookmarkStart w:id="178" w:name="_Toc16673843"/>
      <w:bookmarkStart w:id="179" w:name="_Toc27601838"/>
      <w:r>
        <w:rPr>
          <w:rFonts w:hint="eastAsia"/>
          <w:color w:val="4472C4" w:themeColor="accent1"/>
          <w14:textFill>
            <w14:solidFill>
              <w14:schemeClr w14:val="accent1"/>
            </w14:solidFill>
          </w14:textFill>
        </w:rPr>
        <w:t>二</w:t>
      </w:r>
      <w:r>
        <w:rPr>
          <w:color w:val="4472C4" w:themeColor="accent1"/>
          <w14:textFill>
            <w14:solidFill>
              <w14:schemeClr w14:val="accent1"/>
            </w14:solidFill>
          </w14:textFill>
        </w:rPr>
        <w:t>、</w:t>
      </w:r>
      <w:bookmarkEnd w:id="178"/>
      <w:r>
        <w:rPr>
          <w:rFonts w:hint="eastAsia"/>
          <w:color w:val="4472C4" w:themeColor="accent1"/>
          <w14:textFill>
            <w14:solidFill>
              <w14:schemeClr w14:val="accent1"/>
            </w14:solidFill>
          </w14:textFill>
        </w:rPr>
        <w:t>毕业生以单位</w:t>
      </w:r>
      <w:r>
        <w:rPr>
          <w:color w:val="4472C4" w:themeColor="accent1"/>
          <w14:textFill>
            <w14:solidFill>
              <w14:schemeClr w14:val="accent1"/>
            </w14:solidFill>
          </w14:textFill>
        </w:rPr>
        <w:t>就业为主</w:t>
      </w:r>
      <w:r>
        <w:rPr>
          <w:rFonts w:hint="eastAsia"/>
          <w:color w:val="4472C4" w:themeColor="accent1"/>
          <w14:textFill>
            <w14:solidFill>
              <w14:schemeClr w14:val="accent1"/>
            </w14:solidFill>
          </w14:textFill>
        </w:rPr>
        <w:t>，升学</w:t>
      </w:r>
      <w:r>
        <w:rPr>
          <w:color w:val="4472C4" w:themeColor="accent1"/>
          <w14:textFill>
            <w14:solidFill>
              <w14:schemeClr w14:val="accent1"/>
            </w14:solidFill>
          </w14:textFill>
        </w:rPr>
        <w:t>比例</w:t>
      </w:r>
      <w:r>
        <w:rPr>
          <w:rFonts w:hint="eastAsia"/>
          <w:color w:val="4472C4" w:themeColor="accent1"/>
          <w14:textFill>
            <w14:solidFill>
              <w14:schemeClr w14:val="accent1"/>
            </w14:solidFill>
          </w14:textFill>
        </w:rPr>
        <w:t>逐年上升</w:t>
      </w:r>
      <w:bookmarkEnd w:id="179"/>
    </w:p>
    <w:p>
      <w:pPr>
        <w:pStyle w:val="199"/>
        <w:spacing w:before="156" w:beforeLines="50" w:after="156" w:afterLines="50"/>
        <w:ind w:firstLine="480"/>
      </w:pPr>
      <w:r>
        <w:rPr>
          <w:rFonts w:hint="eastAsia"/>
        </w:rPr>
        <w:t>单位</w:t>
      </w:r>
      <w:r>
        <w:t>就业为近</w:t>
      </w:r>
      <w:r>
        <w:rPr>
          <w:rFonts w:hint="eastAsia"/>
        </w:rPr>
        <w:t>三</w:t>
      </w:r>
      <w:r>
        <w:t>届</w:t>
      </w:r>
      <w:r>
        <w:rPr>
          <w:rFonts w:hint="eastAsia"/>
        </w:rPr>
        <w:t>毕业生主要的就业</w:t>
      </w:r>
      <w:r>
        <w:t>选择</w:t>
      </w:r>
      <w:r>
        <w:rPr>
          <w:rFonts w:hint="eastAsia"/>
        </w:rPr>
        <w:t>，占比</w:t>
      </w:r>
      <w:r>
        <w:t>均在84</w:t>
      </w:r>
      <w:r>
        <w:rPr>
          <w:rFonts w:hint="eastAsia"/>
        </w:rPr>
        <w:t>.00</w:t>
      </w:r>
      <w:r>
        <w:t>%以上</w:t>
      </w:r>
      <w:r>
        <w:rPr>
          <w:rFonts w:hint="eastAsia"/>
        </w:rPr>
        <w:t>。另外</w:t>
      </w:r>
      <w:r>
        <w:t>选择</w:t>
      </w:r>
      <w:r>
        <w:rPr>
          <w:rFonts w:hint="eastAsia"/>
        </w:rPr>
        <w:t>升学的</w:t>
      </w:r>
      <w:r>
        <w:t>毕业生人数也</w:t>
      </w:r>
      <w:r>
        <w:rPr>
          <w:rFonts w:hint="eastAsia"/>
        </w:rPr>
        <w:t>呈逐年上升趋势</w:t>
      </w:r>
      <w:r>
        <w:t>，</w:t>
      </w:r>
      <w:r>
        <w:rPr>
          <w:rFonts w:hint="eastAsia"/>
        </w:rPr>
        <w:t>201</w:t>
      </w:r>
      <w:r>
        <w:t>9</w:t>
      </w:r>
      <w:r>
        <w:rPr>
          <w:rFonts w:hint="eastAsia"/>
        </w:rPr>
        <w:t>届毕业生升学占比相较2</w:t>
      </w:r>
      <w:r>
        <w:t>018</w:t>
      </w:r>
      <w:r>
        <w:rPr>
          <w:rFonts w:hint="eastAsia"/>
        </w:rPr>
        <w:t>届上升0</w:t>
      </w:r>
      <w:r>
        <w:t>.90</w:t>
      </w:r>
      <w:r>
        <w:rPr>
          <w:rFonts w:hint="eastAsia"/>
        </w:rPr>
        <w:t>个百分点，相较2</w:t>
      </w:r>
      <w:r>
        <w:t>017</w:t>
      </w:r>
      <w:r>
        <w:rPr>
          <w:rFonts w:hint="eastAsia"/>
        </w:rPr>
        <w:t>届上升1</w:t>
      </w:r>
      <w:r>
        <w:t>.44</w:t>
      </w:r>
      <w:r>
        <w:rPr>
          <w:rFonts w:hint="eastAsia"/>
        </w:rPr>
        <w:t>个百分点；201</w:t>
      </w:r>
      <w:r>
        <w:t>9</w:t>
      </w:r>
      <w:r>
        <w:rPr>
          <w:rFonts w:hint="eastAsia"/>
        </w:rPr>
        <w:t>届毕业生灵活就业占比相</w:t>
      </w:r>
      <w:r>
        <w:t>较</w:t>
      </w:r>
      <w:r>
        <w:rPr>
          <w:rFonts w:hint="eastAsia"/>
        </w:rPr>
        <w:t>2</w:t>
      </w:r>
      <w:r>
        <w:t>018</w:t>
      </w:r>
      <w:r>
        <w:rPr>
          <w:rFonts w:hint="eastAsia"/>
        </w:rPr>
        <w:t>届上升0</w:t>
      </w:r>
      <w:r>
        <w:t>.50</w:t>
      </w:r>
      <w:r>
        <w:rPr>
          <w:rFonts w:hint="eastAsia"/>
        </w:rPr>
        <w:t>个百分点，相</w:t>
      </w:r>
      <w:r>
        <w:t>较</w:t>
      </w:r>
      <w:r>
        <w:rPr>
          <w:rFonts w:hint="eastAsia"/>
        </w:rPr>
        <w:t>201</w:t>
      </w:r>
      <w:r>
        <w:t>7</w:t>
      </w:r>
      <w:r>
        <w:rPr>
          <w:rFonts w:hint="eastAsia"/>
        </w:rPr>
        <w:t>届上升1</w:t>
      </w:r>
      <w:r>
        <w:t>.83个百分点。</w:t>
      </w:r>
    </w:p>
    <w:p>
      <w:pPr>
        <w:pStyle w:val="199"/>
        <w:spacing w:before="156" w:beforeLines="50" w:after="156" w:afterLines="50"/>
        <w:ind w:firstLine="480"/>
      </w:pPr>
      <w:r>
        <w:rPr>
          <w:rFonts w:hint="eastAsia"/>
        </w:rPr>
        <w:t>单位就业成为毕业生就业的首要选择，反映出用人单位为毕业生提供的岗位较为优质，职业发展空间较大；毕业生选择升学的比例上升，可见毕业生继续深造意愿增强，想通过提高自身的知识水平和综合能力来增加未来在就业市场中的择业资本和竞争力；而灵活就业的比例稳定，一方面反映出毕业生能够根据</w:t>
      </w:r>
      <w:r>
        <w:t>市场变化</w:t>
      </w:r>
      <w:r>
        <w:rPr>
          <w:rFonts w:hint="eastAsia"/>
        </w:rPr>
        <w:t>灵活</w:t>
      </w:r>
      <w:r>
        <w:t>调整</w:t>
      </w:r>
      <w:r>
        <w:rPr>
          <w:rFonts w:hint="eastAsia"/>
        </w:rPr>
        <w:t>择业观念及就业方式</w:t>
      </w:r>
      <w:r>
        <w:t>，</w:t>
      </w:r>
      <w:r>
        <w:rPr>
          <w:rFonts w:hint="eastAsia"/>
        </w:rPr>
        <w:t>积极选择更为灵活的方式就业，另一方面也</w:t>
      </w:r>
      <w:r>
        <w:t>和</w:t>
      </w:r>
      <w:r>
        <w:rPr>
          <w:rFonts w:hint="eastAsia"/>
        </w:rPr>
        <w:t>近年来国家对大学生</w:t>
      </w:r>
      <w:r>
        <w:t>创业</w:t>
      </w:r>
      <w:r>
        <w:rPr>
          <w:rFonts w:hint="eastAsia"/>
        </w:rPr>
        <w:t>的多</w:t>
      </w:r>
      <w:r>
        <w:t>种鼓励政策及</w:t>
      </w:r>
      <w:r>
        <w:rPr>
          <w:rFonts w:hint="eastAsia"/>
        </w:rPr>
        <w:t>学校</w:t>
      </w:r>
      <w:r>
        <w:t>创业工作</w:t>
      </w:r>
      <w:r>
        <w:rPr>
          <w:rFonts w:hint="eastAsia"/>
        </w:rPr>
        <w:t>的积极</w:t>
      </w:r>
      <w:r>
        <w:t>推进</w:t>
      </w:r>
      <w:r>
        <w:rPr>
          <w:rFonts w:hint="eastAsia"/>
        </w:rPr>
        <w:t>密切相关。</w:t>
      </w:r>
    </w:p>
    <w:p>
      <w:pPr>
        <w:jc w:val="center"/>
        <w:rPr>
          <w:rFonts w:ascii="宋体" w:hAnsi="宋体"/>
        </w:rPr>
      </w:pPr>
      <w:r>
        <w:rPr>
          <w:rFonts w:ascii="宋体" w:hAnsi="宋体"/>
        </w:rPr>
        <w:drawing>
          <wp:inline distT="0" distB="0" distL="0" distR="0">
            <wp:extent cx="5399405" cy="1799590"/>
            <wp:effectExtent l="0" t="0" r="0" b="0"/>
            <wp:docPr id="42" name="图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pPr>
        <w:pStyle w:val="203"/>
        <w:spacing w:before="0" w:beforeLines="0" w:after="0" w:afterLines="0"/>
      </w:pPr>
      <w:bookmarkStart w:id="180" w:name="_Toc16673949"/>
      <w:bookmarkStart w:id="181" w:name="_Toc27002316"/>
      <w:r>
        <w:rPr>
          <w:rFonts w:hint="eastAsia"/>
        </w:rPr>
        <w:t xml:space="preserve">图4- </w:t>
      </w:r>
      <w:r>
        <w:fldChar w:fldCharType="begin"/>
      </w:r>
      <w:r>
        <w:instrText xml:space="preserve"> </w:instrText>
      </w:r>
      <w:r>
        <w:rPr>
          <w:rFonts w:hint="eastAsia"/>
        </w:rPr>
        <w:instrText xml:space="preserve">SEQ 图4- \* ARABIC</w:instrText>
      </w:r>
      <w:r>
        <w:instrText xml:space="preserve"> </w:instrText>
      </w:r>
      <w:r>
        <w:fldChar w:fldCharType="separate"/>
      </w:r>
      <w:r>
        <w:t>2</w:t>
      </w:r>
      <w:r>
        <w:fldChar w:fldCharType="end"/>
      </w:r>
      <w:r>
        <w:t xml:space="preserve">  2017-2019届</w:t>
      </w:r>
      <w:r>
        <w:rPr>
          <w:rFonts w:hint="eastAsia"/>
        </w:rPr>
        <w:t>毕业生毕业</w:t>
      </w:r>
      <w:r>
        <w:t>去向</w:t>
      </w:r>
      <w:r>
        <w:rPr>
          <w:rFonts w:hint="eastAsia"/>
        </w:rPr>
        <w:t>趋势</w:t>
      </w:r>
      <w:bookmarkEnd w:id="180"/>
      <w:bookmarkEnd w:id="181"/>
    </w:p>
    <w:p>
      <w:pPr>
        <w:pStyle w:val="132"/>
        <w:ind w:firstLine="360"/>
        <w:jc w:val="both"/>
      </w:pPr>
      <w:r>
        <w:rPr>
          <w:rFonts w:hint="eastAsia"/>
        </w:rPr>
        <w:t>注：单位就业包括签就业</w:t>
      </w:r>
      <w:r>
        <w:t>协议形式就业</w:t>
      </w:r>
      <w:r>
        <w:rPr>
          <w:rFonts w:hint="eastAsia"/>
        </w:rPr>
        <w:t>、</w:t>
      </w:r>
      <w:r>
        <w:t>签</w:t>
      </w:r>
      <w:r>
        <w:rPr>
          <w:rFonts w:hint="eastAsia"/>
        </w:rPr>
        <w:t>劳</w:t>
      </w:r>
      <w:r>
        <w:t>动合同形式就业</w:t>
      </w:r>
      <w:r>
        <w:rPr>
          <w:rFonts w:hint="eastAsia"/>
        </w:rPr>
        <w:t>、</w:t>
      </w:r>
      <w:r>
        <w:t>其他录用形式就业</w:t>
      </w:r>
      <w:r>
        <w:rPr>
          <w:rFonts w:hint="eastAsia"/>
        </w:rPr>
        <w:t>、</w:t>
      </w:r>
      <w:r>
        <w:t>国家</w:t>
      </w:r>
      <w:r>
        <w:rPr>
          <w:rFonts w:hint="eastAsia"/>
        </w:rPr>
        <w:t>基层</w:t>
      </w:r>
      <w:r>
        <w:t>项目</w:t>
      </w:r>
      <w:r>
        <w:rPr>
          <w:rFonts w:hint="eastAsia"/>
        </w:rPr>
        <w:t>、</w:t>
      </w:r>
      <w:r>
        <w:t>地方基层项目、科研助理</w:t>
      </w:r>
      <w:r>
        <w:rPr>
          <w:rFonts w:hint="eastAsia"/>
        </w:rPr>
        <w:t>及</w:t>
      </w:r>
      <w:r>
        <w:t>应征义务兵。</w:t>
      </w:r>
    </w:p>
    <w:p>
      <w:pPr>
        <w:ind w:firstLine="360" w:firstLineChars="200"/>
        <w:jc w:val="both"/>
        <w:rPr>
          <w:rFonts w:ascii="Times New Roman" w:hAnsi="Times New Roman"/>
          <w:color w:val="4472C4" w:themeColor="accent1"/>
          <w:sz w:val="18"/>
          <w:szCs w:val="18"/>
          <w:lang w:val="zh-CN"/>
          <w14:textFill>
            <w14:solidFill>
              <w14:schemeClr w14:val="accent1"/>
            </w14:solidFill>
          </w14:textFill>
        </w:rPr>
      </w:pPr>
      <w:bookmarkStart w:id="182" w:name="_Toc16673844"/>
      <w:r>
        <w:rPr>
          <w:rFonts w:hint="eastAsia" w:ascii="Times New Roman" w:hAnsi="Times New Roman"/>
          <w:color w:val="4472C4" w:themeColor="accent1"/>
          <w:sz w:val="18"/>
          <w:szCs w:val="18"/>
          <w:lang w:val="zh-CN"/>
          <w14:textFill>
            <w14:solidFill>
              <w14:schemeClr w14:val="accent1"/>
            </w14:solidFill>
          </w14:textFill>
        </w:rPr>
        <w:t>数据来源：</w:t>
      </w:r>
      <w:r>
        <w:rPr>
          <w:rFonts w:ascii="Times New Roman" w:hAnsi="Times New Roman"/>
          <w:color w:val="4472C4" w:themeColor="accent1"/>
          <w:sz w:val="18"/>
          <w:szCs w:val="18"/>
          <w:lang w:val="zh-CN"/>
          <w14:textFill>
            <w14:solidFill>
              <w14:schemeClr w14:val="accent1"/>
            </w14:solidFill>
          </w14:textFill>
        </w:rPr>
        <w:t>1</w:t>
      </w:r>
      <w:r>
        <w:rPr>
          <w:rFonts w:hint="eastAsia" w:ascii="Times New Roman" w:hAnsi="Times New Roman"/>
          <w:color w:val="4472C4" w:themeColor="accent1"/>
          <w:sz w:val="18"/>
          <w:szCs w:val="18"/>
          <w:lang w:val="zh-CN"/>
          <w14:textFill>
            <w14:solidFill>
              <w14:schemeClr w14:val="accent1"/>
            </w14:solidFill>
          </w14:textFill>
        </w:rPr>
        <w:t>.</w:t>
      </w:r>
      <w:r>
        <w:rPr>
          <w:rFonts w:ascii="Times New Roman" w:hAnsi="Times New Roman"/>
          <w:color w:val="4472C4" w:themeColor="accent1"/>
          <w:sz w:val="18"/>
          <w:szCs w:val="18"/>
          <w:lang w:val="zh-CN"/>
          <w14:textFill>
            <w14:solidFill>
              <w14:schemeClr w14:val="accent1"/>
            </w14:solidFill>
          </w14:textFill>
        </w:rPr>
        <w:t>201</w:t>
      </w:r>
      <w:r>
        <w:rPr>
          <w:rFonts w:hint="eastAsia" w:ascii="Times New Roman" w:hAnsi="Times New Roman"/>
          <w:color w:val="4472C4" w:themeColor="accent1"/>
          <w:sz w:val="18"/>
          <w:szCs w:val="18"/>
          <w:lang w:val="zh-CN"/>
          <w14:textFill>
            <w14:solidFill>
              <w14:schemeClr w14:val="accent1"/>
            </w14:solidFill>
          </w14:textFill>
        </w:rPr>
        <w:t>7届</w:t>
      </w:r>
      <w:r>
        <w:rPr>
          <w:rFonts w:ascii="Times New Roman" w:hAnsi="Times New Roman"/>
          <w:color w:val="4472C4" w:themeColor="accent1"/>
          <w:sz w:val="18"/>
          <w:szCs w:val="18"/>
          <w:lang w:val="zh-CN"/>
          <w14:textFill>
            <w14:solidFill>
              <w14:schemeClr w14:val="accent1"/>
            </w14:solidFill>
          </w14:textFill>
        </w:rPr>
        <w:t>数据来自</w:t>
      </w:r>
      <w:r>
        <w:rPr>
          <w:rFonts w:hint="eastAsia" w:ascii="Times New Roman" w:hAnsi="Times New Roman"/>
          <w:color w:val="4472C4" w:themeColor="accent1"/>
          <w:sz w:val="18"/>
          <w:szCs w:val="18"/>
          <w:lang w:val="zh-CN"/>
          <w14:textFill>
            <w14:solidFill>
              <w14:schemeClr w14:val="accent1"/>
            </w14:solidFill>
          </w14:textFill>
        </w:rPr>
        <w:t>《皖西学院201</w:t>
      </w:r>
      <w:r>
        <w:rPr>
          <w:rFonts w:ascii="Times New Roman" w:hAnsi="Times New Roman"/>
          <w:color w:val="4472C4" w:themeColor="accent1"/>
          <w:sz w:val="18"/>
          <w:szCs w:val="18"/>
          <w:lang w:val="zh-CN"/>
          <w14:textFill>
            <w14:solidFill>
              <w14:schemeClr w14:val="accent1"/>
            </w14:solidFill>
          </w14:textFill>
        </w:rPr>
        <w:t>7</w:t>
      </w:r>
      <w:r>
        <w:rPr>
          <w:rFonts w:hint="eastAsia" w:ascii="Times New Roman" w:hAnsi="Times New Roman"/>
          <w:color w:val="4472C4" w:themeColor="accent1"/>
          <w:sz w:val="18"/>
          <w:szCs w:val="18"/>
          <w:lang w:val="zh-CN"/>
          <w14:textFill>
            <w14:solidFill>
              <w14:schemeClr w14:val="accent1"/>
            </w14:solidFill>
          </w14:textFill>
        </w:rPr>
        <w:t>届</w:t>
      </w:r>
      <w:r>
        <w:rPr>
          <w:rFonts w:ascii="Times New Roman" w:hAnsi="Times New Roman"/>
          <w:color w:val="4472C4" w:themeColor="accent1"/>
          <w:sz w:val="18"/>
          <w:szCs w:val="18"/>
          <w:lang w:val="zh-CN"/>
          <w14:textFill>
            <w14:solidFill>
              <w14:schemeClr w14:val="accent1"/>
            </w14:solidFill>
          </w14:textFill>
        </w:rPr>
        <w:t>毕业生就业质量</w:t>
      </w:r>
      <w:r>
        <w:rPr>
          <w:rFonts w:hint="eastAsia" w:ascii="Times New Roman" w:hAnsi="Times New Roman"/>
          <w:color w:val="4472C4" w:themeColor="accent1"/>
          <w:sz w:val="18"/>
          <w:szCs w:val="18"/>
          <w:lang w:val="zh-CN"/>
          <w14:textFill>
            <w14:solidFill>
              <w14:schemeClr w14:val="accent1"/>
            </w14:solidFill>
          </w14:textFill>
        </w:rPr>
        <w:t>年度</w:t>
      </w:r>
      <w:r>
        <w:rPr>
          <w:rFonts w:ascii="Times New Roman" w:hAnsi="Times New Roman"/>
          <w:color w:val="4472C4" w:themeColor="accent1"/>
          <w:sz w:val="18"/>
          <w:szCs w:val="18"/>
          <w:lang w:val="zh-CN"/>
          <w14:textFill>
            <w14:solidFill>
              <w14:schemeClr w14:val="accent1"/>
            </w14:solidFill>
          </w14:textFill>
        </w:rPr>
        <w:t>报告</w:t>
      </w:r>
      <w:r>
        <w:rPr>
          <w:rFonts w:hint="eastAsia" w:ascii="Times New Roman" w:hAnsi="Times New Roman"/>
          <w:color w:val="4472C4" w:themeColor="accent1"/>
          <w:sz w:val="18"/>
          <w:szCs w:val="18"/>
          <w:lang w:val="zh-CN"/>
          <w14:textFill>
            <w14:solidFill>
              <w14:schemeClr w14:val="accent1"/>
            </w14:solidFill>
          </w14:textFill>
        </w:rPr>
        <w:t>》；</w:t>
      </w:r>
    </w:p>
    <w:p>
      <w:pPr>
        <w:ind w:firstLine="360" w:firstLineChars="200"/>
        <w:jc w:val="both"/>
        <w:rPr>
          <w:rFonts w:ascii="Times New Roman" w:hAnsi="Times New Roman"/>
          <w:color w:val="4472C4" w:themeColor="accent1"/>
          <w:sz w:val="18"/>
          <w:szCs w:val="18"/>
          <w:lang w:val="zh-CN"/>
          <w14:textFill>
            <w14:solidFill>
              <w14:schemeClr w14:val="accent1"/>
            </w14:solidFill>
          </w14:textFill>
        </w:rPr>
      </w:pPr>
      <w:r>
        <w:rPr>
          <w:rFonts w:hint="eastAsia" w:ascii="Times New Roman" w:hAnsi="Times New Roman"/>
          <w:color w:val="4472C4" w:themeColor="accent1"/>
          <w:sz w:val="18"/>
          <w:szCs w:val="18"/>
          <w:lang w:val="zh-CN"/>
          <w14:textFill>
            <w14:solidFill>
              <w14:schemeClr w14:val="accent1"/>
            </w14:solidFill>
          </w14:textFill>
        </w:rPr>
        <w:t xml:space="preserve">          2.</w:t>
      </w:r>
      <w:r>
        <w:rPr>
          <w:rFonts w:ascii="Times New Roman" w:hAnsi="Times New Roman"/>
          <w:color w:val="4472C4" w:themeColor="accent1"/>
          <w:sz w:val="18"/>
          <w:szCs w:val="18"/>
          <w:lang w:val="zh-CN"/>
          <w14:textFill>
            <w14:solidFill>
              <w14:schemeClr w14:val="accent1"/>
            </w14:solidFill>
          </w14:textFill>
        </w:rPr>
        <w:t>201</w:t>
      </w:r>
      <w:r>
        <w:rPr>
          <w:rFonts w:hint="eastAsia" w:ascii="Times New Roman" w:hAnsi="Times New Roman"/>
          <w:color w:val="4472C4" w:themeColor="accent1"/>
          <w:sz w:val="18"/>
          <w:szCs w:val="18"/>
          <w:lang w:val="zh-CN"/>
          <w14:textFill>
            <w14:solidFill>
              <w14:schemeClr w14:val="accent1"/>
            </w14:solidFill>
          </w14:textFill>
        </w:rPr>
        <w:t>8届</w:t>
      </w:r>
      <w:r>
        <w:rPr>
          <w:rFonts w:ascii="Times New Roman" w:hAnsi="Times New Roman"/>
          <w:color w:val="4472C4" w:themeColor="accent1"/>
          <w:sz w:val="18"/>
          <w:szCs w:val="18"/>
          <w:lang w:val="zh-CN"/>
          <w14:textFill>
            <w14:solidFill>
              <w14:schemeClr w14:val="accent1"/>
            </w14:solidFill>
          </w14:textFill>
        </w:rPr>
        <w:t>数据来自</w:t>
      </w:r>
      <w:r>
        <w:rPr>
          <w:rFonts w:hint="eastAsia" w:ascii="Times New Roman" w:hAnsi="Times New Roman"/>
          <w:color w:val="4472C4" w:themeColor="accent1"/>
          <w:sz w:val="18"/>
          <w:szCs w:val="18"/>
          <w:lang w:val="zh-CN"/>
          <w14:textFill>
            <w14:solidFill>
              <w14:schemeClr w14:val="accent1"/>
            </w14:solidFill>
          </w14:textFill>
        </w:rPr>
        <w:t>《皖西学院201</w:t>
      </w:r>
      <w:r>
        <w:rPr>
          <w:rFonts w:ascii="Times New Roman" w:hAnsi="Times New Roman"/>
          <w:color w:val="4472C4" w:themeColor="accent1"/>
          <w:sz w:val="18"/>
          <w:szCs w:val="18"/>
          <w:lang w:val="zh-CN"/>
          <w14:textFill>
            <w14:solidFill>
              <w14:schemeClr w14:val="accent1"/>
            </w14:solidFill>
          </w14:textFill>
        </w:rPr>
        <w:t>8</w:t>
      </w:r>
      <w:r>
        <w:rPr>
          <w:rFonts w:hint="eastAsia" w:ascii="Times New Roman" w:hAnsi="Times New Roman"/>
          <w:color w:val="4472C4" w:themeColor="accent1"/>
          <w:sz w:val="18"/>
          <w:szCs w:val="18"/>
          <w:lang w:val="zh-CN"/>
          <w14:textFill>
            <w14:solidFill>
              <w14:schemeClr w14:val="accent1"/>
            </w14:solidFill>
          </w14:textFill>
        </w:rPr>
        <w:t>届</w:t>
      </w:r>
      <w:r>
        <w:rPr>
          <w:rFonts w:ascii="Times New Roman" w:hAnsi="Times New Roman"/>
          <w:color w:val="4472C4" w:themeColor="accent1"/>
          <w:sz w:val="18"/>
          <w:szCs w:val="18"/>
          <w:lang w:val="zh-CN"/>
          <w14:textFill>
            <w14:solidFill>
              <w14:schemeClr w14:val="accent1"/>
            </w14:solidFill>
          </w14:textFill>
        </w:rPr>
        <w:t>毕业生就业质量</w:t>
      </w:r>
      <w:r>
        <w:rPr>
          <w:rFonts w:hint="eastAsia" w:ascii="Times New Roman" w:hAnsi="Times New Roman"/>
          <w:color w:val="4472C4" w:themeColor="accent1"/>
          <w:sz w:val="18"/>
          <w:szCs w:val="18"/>
          <w:lang w:val="zh-CN"/>
          <w14:textFill>
            <w14:solidFill>
              <w14:schemeClr w14:val="accent1"/>
            </w14:solidFill>
          </w14:textFill>
        </w:rPr>
        <w:t>年度</w:t>
      </w:r>
      <w:r>
        <w:rPr>
          <w:rFonts w:ascii="Times New Roman" w:hAnsi="Times New Roman"/>
          <w:color w:val="4472C4" w:themeColor="accent1"/>
          <w:sz w:val="18"/>
          <w:szCs w:val="18"/>
          <w:lang w:val="zh-CN"/>
          <w14:textFill>
            <w14:solidFill>
              <w14:schemeClr w14:val="accent1"/>
            </w14:solidFill>
          </w14:textFill>
        </w:rPr>
        <w:t>报告</w:t>
      </w:r>
      <w:r>
        <w:rPr>
          <w:rFonts w:hint="eastAsia" w:ascii="Times New Roman" w:hAnsi="Times New Roman"/>
          <w:color w:val="4472C4" w:themeColor="accent1"/>
          <w:sz w:val="18"/>
          <w:szCs w:val="18"/>
          <w:lang w:val="zh-CN"/>
          <w14:textFill>
            <w14:solidFill>
              <w14:schemeClr w14:val="accent1"/>
            </w14:solidFill>
          </w14:textFill>
        </w:rPr>
        <w:t>》；</w:t>
      </w:r>
    </w:p>
    <w:p>
      <w:pPr>
        <w:ind w:firstLine="1260" w:firstLineChars="700"/>
        <w:jc w:val="both"/>
        <w:rPr>
          <w:rFonts w:ascii="Times New Roman" w:hAnsi="Times New Roman"/>
          <w:color w:val="4472C4" w:themeColor="accent1"/>
          <w:sz w:val="18"/>
          <w:szCs w:val="18"/>
          <w:lang w:val="zh-CN"/>
          <w14:textFill>
            <w14:solidFill>
              <w14:schemeClr w14:val="accent1"/>
            </w14:solidFill>
          </w14:textFill>
        </w:rPr>
      </w:pPr>
      <w:r>
        <w:rPr>
          <w:rFonts w:hint="eastAsia" w:ascii="Times New Roman" w:hAnsi="Times New Roman"/>
          <w:color w:val="4472C4" w:themeColor="accent1"/>
          <w:sz w:val="18"/>
          <w:szCs w:val="18"/>
          <w:lang w:val="zh-CN"/>
          <w14:textFill>
            <w14:solidFill>
              <w14:schemeClr w14:val="accent1"/>
            </w14:solidFill>
          </w14:textFill>
        </w:rPr>
        <w:t>3</w:t>
      </w:r>
      <w:r>
        <w:rPr>
          <w:rFonts w:ascii="Times New Roman" w:hAnsi="Times New Roman"/>
          <w:color w:val="4472C4" w:themeColor="accent1"/>
          <w:sz w:val="18"/>
          <w:szCs w:val="18"/>
          <w:lang w:val="zh-CN"/>
          <w14:textFill>
            <w14:solidFill>
              <w14:schemeClr w14:val="accent1"/>
            </w14:solidFill>
          </w14:textFill>
        </w:rPr>
        <w:t>.2019届数据来自</w:t>
      </w:r>
      <w:r>
        <w:rPr>
          <w:rFonts w:hint="eastAsia" w:ascii="Times New Roman" w:hAnsi="Times New Roman"/>
          <w:color w:val="4472C4" w:themeColor="accent1"/>
          <w:sz w:val="18"/>
          <w:szCs w:val="18"/>
          <w:lang w:val="zh-CN"/>
          <w14:textFill>
            <w14:solidFill>
              <w14:schemeClr w14:val="accent1"/>
            </w14:solidFill>
          </w14:textFill>
        </w:rPr>
        <w:t>第三方机构新锦成-</w:t>
      </w:r>
      <w:r>
        <w:rPr>
          <w:rFonts w:ascii="Times New Roman" w:hAnsi="Times New Roman"/>
          <w:color w:val="4472C4" w:themeColor="accent1"/>
          <w:sz w:val="18"/>
          <w:szCs w:val="18"/>
          <w:lang w:val="zh-CN"/>
          <w14:textFill>
            <w14:solidFill>
              <w14:schemeClr w14:val="accent1"/>
            </w14:solidFill>
          </w14:textFill>
        </w:rPr>
        <w:t>2019届</w:t>
      </w:r>
      <w:r>
        <w:rPr>
          <w:rFonts w:hint="eastAsia" w:ascii="Times New Roman" w:hAnsi="Times New Roman"/>
          <w:color w:val="4472C4" w:themeColor="accent1"/>
          <w:sz w:val="18"/>
          <w:szCs w:val="18"/>
          <w:lang w:val="zh-CN"/>
          <w14:textFill>
            <w14:solidFill>
              <w14:schemeClr w14:val="accent1"/>
            </w14:solidFill>
          </w14:textFill>
        </w:rPr>
        <w:t>毕业生就业与培养质量调查。</w:t>
      </w:r>
    </w:p>
    <w:p>
      <w:pPr>
        <w:pStyle w:val="142"/>
        <w:pBdr>
          <w:top w:val="none" w:color="auto" w:sz="0" w:space="0"/>
          <w:left w:val="none" w:color="auto" w:sz="0" w:space="0"/>
          <w:bottom w:val="none" w:color="auto" w:sz="0" w:space="0"/>
          <w:right w:val="none" w:color="auto" w:sz="0" w:space="0"/>
        </w:pBdr>
        <w:rPr>
          <w:color w:val="4472C4" w:themeColor="accent1"/>
          <w14:textFill>
            <w14:solidFill>
              <w14:schemeClr w14:val="accent1"/>
            </w14:solidFill>
          </w14:textFill>
        </w:rPr>
      </w:pPr>
      <w:bookmarkStart w:id="183" w:name="_Toc27601839"/>
      <w:r>
        <w:rPr>
          <w:rFonts w:hint="eastAsia"/>
          <w:color w:val="4472C4" w:themeColor="accent1"/>
          <w14:textFill>
            <w14:solidFill>
              <w14:schemeClr w14:val="accent1"/>
            </w14:solidFill>
          </w14:textFill>
        </w:rPr>
        <w:t>三</w:t>
      </w:r>
      <w:r>
        <w:rPr>
          <w:color w:val="4472C4" w:themeColor="accent1"/>
          <w14:textFill>
            <w14:solidFill>
              <w14:schemeClr w14:val="accent1"/>
            </w14:solidFill>
          </w14:textFill>
        </w:rPr>
        <w:t>、</w:t>
      </w:r>
      <w:bookmarkEnd w:id="182"/>
      <w:r>
        <w:rPr>
          <w:rFonts w:hint="eastAsia"/>
          <w:color w:val="4472C4" w:themeColor="accent1"/>
          <w14:textFill>
            <w14:solidFill>
              <w14:schemeClr w14:val="accent1"/>
            </w14:solidFill>
          </w14:textFill>
        </w:rPr>
        <w:t>安徽省成为毕业生就业首要选择，服务地方经济发展将成为未来毕业生就业趋势</w:t>
      </w:r>
      <w:bookmarkEnd w:id="183"/>
    </w:p>
    <w:p>
      <w:pPr>
        <w:pStyle w:val="199"/>
        <w:spacing w:before="156" w:beforeLines="50" w:after="156" w:afterLines="50"/>
        <w:ind w:firstLine="480"/>
      </w:pPr>
      <w:r>
        <w:rPr>
          <w:rFonts w:hint="eastAsia"/>
        </w:rPr>
        <w:t>安徽省成为近三届</w:t>
      </w:r>
      <w:r>
        <w:t>毕业生就业主战场，</w:t>
      </w:r>
      <w:r>
        <w:rPr>
          <w:rFonts w:hint="eastAsia"/>
        </w:rPr>
        <w:t>且在安徽省内就业的毕业生占比保持在较高水平（</w:t>
      </w:r>
      <w:r>
        <w:t>60.00%</w:t>
      </w:r>
      <w:r>
        <w:rPr>
          <w:rFonts w:hint="eastAsia"/>
        </w:rPr>
        <w:t>以上）且呈逐年上升趋势。其中</w:t>
      </w:r>
      <w:r>
        <w:t>2019</w:t>
      </w:r>
      <w:r>
        <w:rPr>
          <w:rFonts w:hint="eastAsia"/>
        </w:rPr>
        <w:t>届毕业生省内就业</w:t>
      </w:r>
      <w:r>
        <w:t>占比</w:t>
      </w:r>
      <w:r>
        <w:rPr>
          <w:rFonts w:hint="eastAsia"/>
        </w:rPr>
        <w:t>较2</w:t>
      </w:r>
      <w:r>
        <w:t>018</w:t>
      </w:r>
      <w:r>
        <w:rPr>
          <w:rFonts w:hint="eastAsia"/>
        </w:rPr>
        <w:t>届上涨</w:t>
      </w:r>
      <w:r>
        <w:t>了5</w:t>
      </w:r>
      <w:r>
        <w:rPr>
          <w:rFonts w:hint="eastAsia"/>
        </w:rPr>
        <w:t>.</w:t>
      </w:r>
      <w:r>
        <w:t>17</w:t>
      </w:r>
      <w:r>
        <w:rPr>
          <w:rFonts w:hint="eastAsia"/>
        </w:rPr>
        <w:t>个</w:t>
      </w:r>
      <w:r>
        <w:t>百分点</w:t>
      </w:r>
      <w:r>
        <w:rPr>
          <w:rFonts w:hint="eastAsia"/>
        </w:rPr>
        <w:t>，较2</w:t>
      </w:r>
      <w:r>
        <w:t>017</w:t>
      </w:r>
      <w:r>
        <w:rPr>
          <w:rFonts w:hint="eastAsia"/>
        </w:rPr>
        <w:t>届上涨</w:t>
      </w:r>
      <w:r>
        <w:t>12.24</w:t>
      </w:r>
      <w:r>
        <w:rPr>
          <w:rFonts w:hint="eastAsia"/>
        </w:rPr>
        <w:t>个百分点。</w:t>
      </w:r>
    </w:p>
    <w:p>
      <w:pPr>
        <w:pStyle w:val="199"/>
        <w:spacing w:before="156" w:beforeLines="50" w:after="156" w:afterLines="50"/>
        <w:ind w:firstLine="480"/>
      </w:pPr>
      <w:r>
        <w:rPr>
          <w:rFonts w:hint="eastAsia"/>
        </w:rPr>
        <w:t>这一就业分布与学校培养定位相符合，为安徽省的</w:t>
      </w:r>
      <w:r>
        <w:t>经济和社会发展</w:t>
      </w:r>
      <w:r>
        <w:rPr>
          <w:rFonts w:hint="eastAsia"/>
        </w:rPr>
        <w:t>提供了人才支持和</w:t>
      </w:r>
      <w:r>
        <w:t>智力支撑</w:t>
      </w:r>
      <w:r>
        <w:rPr>
          <w:rFonts w:hint="eastAsia"/>
        </w:rPr>
        <w:t>。同时，学校积极加强与校地校企合作，与省内知名企业建立就业实习基地，为学校毕业生服务于地方经济发展提供了广阔的平台。毕业生服务</w:t>
      </w:r>
      <w:r>
        <w:t>地方</w:t>
      </w:r>
      <w:r>
        <w:rPr>
          <w:rFonts w:hint="eastAsia"/>
        </w:rPr>
        <w:t>是校、地、生三方共同的需求，预计今后会有更多的毕业生服务地方经济发展。</w:t>
      </w:r>
    </w:p>
    <w:p>
      <w:pPr>
        <w:jc w:val="center"/>
        <w:rPr>
          <w:rFonts w:ascii="宋体" w:hAnsi="宋体"/>
        </w:rPr>
      </w:pPr>
      <w:r>
        <w:rPr>
          <w:rFonts w:ascii="宋体" w:hAnsi="宋体"/>
        </w:rPr>
        <w:drawing>
          <wp:inline distT="0" distB="0" distL="0" distR="0">
            <wp:extent cx="5399405" cy="1619885"/>
            <wp:effectExtent l="0" t="0" r="0" b="0"/>
            <wp:docPr id="913" name="图表 9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pPr>
        <w:pStyle w:val="203"/>
        <w:spacing w:before="0" w:beforeLines="0" w:after="0" w:afterLines="0"/>
      </w:pPr>
      <w:bookmarkStart w:id="184" w:name="_Toc16673950"/>
      <w:bookmarkStart w:id="185" w:name="_Toc27002317"/>
      <w:r>
        <w:rPr>
          <w:rFonts w:hint="eastAsia"/>
        </w:rPr>
        <w:t xml:space="preserve">图4- </w:t>
      </w:r>
      <w:r>
        <w:fldChar w:fldCharType="begin"/>
      </w:r>
      <w:r>
        <w:instrText xml:space="preserve"> </w:instrText>
      </w:r>
      <w:r>
        <w:rPr>
          <w:rFonts w:hint="eastAsia"/>
        </w:rPr>
        <w:instrText xml:space="preserve">SEQ 图4- \* ARABIC</w:instrText>
      </w:r>
      <w:r>
        <w:instrText xml:space="preserve"> </w:instrText>
      </w:r>
      <w:r>
        <w:fldChar w:fldCharType="separate"/>
      </w:r>
      <w:r>
        <w:t>3</w:t>
      </w:r>
      <w:r>
        <w:fldChar w:fldCharType="end"/>
      </w:r>
      <w:r>
        <w:t xml:space="preserve">  2017-2019届毕业生</w:t>
      </w:r>
      <w:r>
        <w:rPr>
          <w:rFonts w:hint="eastAsia"/>
        </w:rPr>
        <w:t>就业地区分布</w:t>
      </w:r>
      <w:bookmarkEnd w:id="184"/>
      <w:bookmarkEnd w:id="185"/>
    </w:p>
    <w:p>
      <w:pPr>
        <w:pStyle w:val="132"/>
        <w:ind w:firstLine="360"/>
        <w:jc w:val="both"/>
      </w:pPr>
      <w:r>
        <w:rPr>
          <w:rFonts w:hint="eastAsia"/>
        </w:rPr>
        <w:t>数据来源：1.</w:t>
      </w:r>
      <w:r>
        <w:t>2017</w:t>
      </w:r>
      <w:r>
        <w:rPr>
          <w:rFonts w:hint="eastAsia"/>
        </w:rPr>
        <w:t>和2</w:t>
      </w:r>
      <w:r>
        <w:t>018</w:t>
      </w:r>
      <w:r>
        <w:rPr>
          <w:rFonts w:hint="eastAsia"/>
        </w:rPr>
        <w:t>届</w:t>
      </w:r>
      <w:r>
        <w:t>数据来自《</w:t>
      </w:r>
      <w:r>
        <w:rPr>
          <w:rFonts w:hint="eastAsia"/>
        </w:rPr>
        <w:t>皖西学院201</w:t>
      </w:r>
      <w:r>
        <w:t>8</w:t>
      </w:r>
      <w:r>
        <w:rPr>
          <w:rFonts w:hint="eastAsia"/>
        </w:rPr>
        <w:t>届</w:t>
      </w:r>
      <w:r>
        <w:t>毕业生就业质量年度报告》</w:t>
      </w:r>
      <w:r>
        <w:rPr>
          <w:rFonts w:hint="eastAsia"/>
        </w:rPr>
        <w:t>；</w:t>
      </w:r>
    </w:p>
    <w:p>
      <w:pPr>
        <w:pStyle w:val="132"/>
        <w:ind w:firstLine="360"/>
        <w:jc w:val="both"/>
      </w:pPr>
      <w:r>
        <w:rPr>
          <w:rFonts w:hint="eastAsia"/>
        </w:rPr>
        <w:t xml:space="preserve">   </w:t>
      </w:r>
      <w:r>
        <w:t xml:space="preserve">      </w:t>
      </w:r>
      <w:r>
        <w:rPr>
          <w:rFonts w:hint="eastAsia"/>
        </w:rPr>
        <w:t xml:space="preserve"> 2.</w:t>
      </w:r>
      <w:r>
        <w:t xml:space="preserve"> 2019</w:t>
      </w:r>
      <w:r>
        <w:rPr>
          <w:rFonts w:hint="eastAsia"/>
        </w:rPr>
        <w:t>届</w:t>
      </w:r>
      <w:r>
        <w:t>数据来自</w:t>
      </w:r>
      <w:r>
        <w:rPr>
          <w:rFonts w:hint="eastAsia"/>
        </w:rPr>
        <w:t>安徽省教育厅就业系统。</w:t>
      </w:r>
    </w:p>
    <w:p>
      <w:pPr>
        <w:pStyle w:val="142"/>
        <w:pBdr>
          <w:top w:val="none" w:color="auto" w:sz="0" w:space="0"/>
          <w:left w:val="none" w:color="auto" w:sz="0" w:space="0"/>
          <w:bottom w:val="none" w:color="auto" w:sz="0" w:space="0"/>
          <w:right w:val="none" w:color="auto" w:sz="0" w:space="0"/>
        </w:pBdr>
        <w:rPr>
          <w:color w:val="4472C4" w:themeColor="accent1"/>
          <w14:textFill>
            <w14:solidFill>
              <w14:schemeClr w14:val="accent1"/>
            </w14:solidFill>
          </w14:textFill>
        </w:rPr>
      </w:pPr>
      <w:bookmarkStart w:id="186" w:name="_Toc16673845"/>
      <w:bookmarkStart w:id="187" w:name="_Toc27601840"/>
      <w:r>
        <w:rPr>
          <w:rFonts w:hint="eastAsia"/>
          <w:color w:val="4472C4" w:themeColor="accent1"/>
          <w14:textFill>
            <w14:solidFill>
              <w14:schemeClr w14:val="accent1"/>
            </w14:solidFill>
          </w14:textFill>
        </w:rPr>
        <w:t>四</w:t>
      </w:r>
      <w:r>
        <w:rPr>
          <w:color w:val="4472C4" w:themeColor="accent1"/>
          <w14:textFill>
            <w14:solidFill>
              <w14:schemeClr w14:val="accent1"/>
            </w14:solidFill>
          </w14:textFill>
        </w:rPr>
        <w:t>、</w:t>
      </w:r>
      <w:bookmarkEnd w:id="186"/>
      <w:r>
        <w:rPr>
          <w:rFonts w:hint="eastAsia"/>
          <w:color w:val="4472C4" w:themeColor="accent1"/>
          <w14:textFill>
            <w14:solidFill>
              <w14:schemeClr w14:val="accent1"/>
            </w14:solidFill>
          </w14:textFill>
        </w:rPr>
        <w:t>毕业生就业特色突出，依托其他企业就业</w:t>
      </w:r>
      <w:r>
        <w:rPr>
          <w:color w:val="4472C4" w:themeColor="accent1"/>
          <w14:textFill>
            <w14:solidFill>
              <w14:schemeClr w14:val="accent1"/>
            </w14:solidFill>
          </w14:textFill>
        </w:rPr>
        <w:t>，</w:t>
      </w:r>
      <w:r>
        <w:rPr>
          <w:rFonts w:hint="eastAsia"/>
          <w:color w:val="4472C4" w:themeColor="accent1"/>
          <w14:textFill>
            <w14:solidFill>
              <w14:schemeClr w14:val="accent1"/>
            </w14:solidFill>
          </w14:textFill>
        </w:rPr>
        <w:t>合理分配人才</w:t>
      </w:r>
      <w:r>
        <w:rPr>
          <w:color w:val="4472C4" w:themeColor="accent1"/>
          <w14:textFill>
            <w14:solidFill>
              <w14:schemeClr w14:val="accent1"/>
            </w14:solidFill>
          </w14:textFill>
        </w:rPr>
        <w:t>资源</w:t>
      </w:r>
      <w:bookmarkEnd w:id="187"/>
    </w:p>
    <w:p>
      <w:pPr>
        <w:pStyle w:val="199"/>
        <w:spacing w:before="156" w:beforeLines="50" w:after="156" w:afterLines="50"/>
        <w:ind w:firstLine="480"/>
      </w:pPr>
      <w:r>
        <w:rPr>
          <w:rFonts w:hint="eastAsia"/>
        </w:rPr>
        <w:t>近三届毕业生主要在“其他企业”就业，比例均处于6</w:t>
      </w:r>
      <w:r>
        <w:t>7.</w:t>
      </w:r>
      <w:r>
        <w:rPr>
          <w:rFonts w:hint="eastAsia"/>
        </w:rPr>
        <w:t>00</w:t>
      </w:r>
      <w:r>
        <w:t>%</w:t>
      </w:r>
      <w:r>
        <w:rPr>
          <w:rFonts w:hint="eastAsia"/>
        </w:rPr>
        <w:t>以上；其次在“国有企业”就业，比例超过6</w:t>
      </w:r>
      <w:r>
        <w:t>.00%</w:t>
      </w:r>
      <w:r>
        <w:rPr>
          <w:rFonts w:hint="eastAsia"/>
        </w:rPr>
        <w:t>，呈逐年上升趋势。</w:t>
      </w:r>
    </w:p>
    <w:p>
      <w:pPr>
        <w:pStyle w:val="199"/>
        <w:spacing w:before="156" w:beforeLines="50" w:after="156" w:afterLines="50"/>
        <w:ind w:firstLine="480"/>
      </w:pPr>
      <w:r>
        <w:rPr>
          <w:rFonts w:hint="eastAsia"/>
        </w:rPr>
        <w:t>这一结果一般学校的办学特色和人才培养定位。此外</w:t>
      </w:r>
      <w:r>
        <w:t>，</w:t>
      </w:r>
      <w:r>
        <w:rPr>
          <w:rFonts w:hint="eastAsia"/>
        </w:rPr>
        <w:t>这一结果也得益于我国近年来扶持民营</w:t>
      </w:r>
      <w:r>
        <w:t>企业发展</w:t>
      </w:r>
      <w:r>
        <w:rPr>
          <w:rFonts w:hint="eastAsia"/>
        </w:rPr>
        <w:t>的政策环境、中小微</w:t>
      </w:r>
      <w:r>
        <w:t>企业</w:t>
      </w:r>
      <w:r>
        <w:rPr>
          <w:rFonts w:hint="eastAsia"/>
        </w:rPr>
        <w:t>的快速</w:t>
      </w:r>
      <w:r>
        <w:t>发展</w:t>
      </w:r>
      <w:r>
        <w:rPr>
          <w:rFonts w:hint="eastAsia"/>
        </w:rPr>
        <w:t>、以及学校不断深化的校政企合作等。学校主动与企业</w:t>
      </w:r>
      <w:r>
        <w:t>单位</w:t>
      </w:r>
      <w:r>
        <w:rPr>
          <w:rFonts w:hint="eastAsia"/>
        </w:rPr>
        <w:t>联络，构建合作新模式，</w:t>
      </w:r>
      <w:r>
        <w:t>为</w:t>
      </w:r>
      <w:r>
        <w:rPr>
          <w:rFonts w:hint="eastAsia"/>
        </w:rPr>
        <w:t>毕业生</w:t>
      </w:r>
      <w:r>
        <w:t>拓宽了就业渠道</w:t>
      </w:r>
      <w:r>
        <w:rPr>
          <w:rFonts w:hint="eastAsia"/>
        </w:rPr>
        <w:t>、</w:t>
      </w:r>
      <w:r>
        <w:t>提供了就业机会。</w:t>
      </w:r>
    </w:p>
    <w:p>
      <w:pPr>
        <w:jc w:val="center"/>
        <w:rPr>
          <w:rFonts w:ascii="宋体" w:hAnsi="宋体"/>
        </w:rPr>
      </w:pPr>
      <w:r>
        <w:rPr>
          <w:rFonts w:hint="eastAsia" w:ascii="宋体" w:hAnsi="宋体"/>
        </w:rPr>
        <w:drawing>
          <wp:inline distT="0" distB="0" distL="0" distR="0">
            <wp:extent cx="5399405" cy="2339975"/>
            <wp:effectExtent l="0" t="0" r="0" b="3175"/>
            <wp:docPr id="914" name="图表 9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pPr>
        <w:pStyle w:val="203"/>
        <w:spacing w:before="0" w:beforeLines="0" w:after="0" w:afterLines="0"/>
      </w:pPr>
      <w:bookmarkStart w:id="188" w:name="_Toc27002318"/>
      <w:bookmarkStart w:id="189" w:name="_Toc16673951"/>
      <w:r>
        <w:rPr>
          <w:rFonts w:hint="eastAsia"/>
        </w:rPr>
        <w:t xml:space="preserve">图4- </w:t>
      </w:r>
      <w:r>
        <w:fldChar w:fldCharType="begin"/>
      </w:r>
      <w:r>
        <w:instrText xml:space="preserve"> </w:instrText>
      </w:r>
      <w:r>
        <w:rPr>
          <w:rFonts w:hint="eastAsia"/>
        </w:rPr>
        <w:instrText xml:space="preserve">SEQ 图4- \* ARABIC</w:instrText>
      </w:r>
      <w:r>
        <w:instrText xml:space="preserve"> </w:instrText>
      </w:r>
      <w:r>
        <w:fldChar w:fldCharType="separate"/>
      </w:r>
      <w:r>
        <w:t>4</w:t>
      </w:r>
      <w:r>
        <w:fldChar w:fldCharType="end"/>
      </w:r>
      <w:r>
        <w:t xml:space="preserve">  2017-2019届毕业生</w:t>
      </w:r>
      <w:r>
        <w:rPr>
          <w:rFonts w:hint="eastAsia"/>
        </w:rPr>
        <w:t>主要就业</w:t>
      </w:r>
      <w:r>
        <w:t>单位</w:t>
      </w:r>
      <w:r>
        <w:rPr>
          <w:rFonts w:hint="eastAsia"/>
        </w:rPr>
        <w:t>分布</w:t>
      </w:r>
      <w:bookmarkEnd w:id="188"/>
      <w:bookmarkEnd w:id="189"/>
    </w:p>
    <w:p>
      <w:pPr>
        <w:pStyle w:val="119"/>
        <w:ind w:firstLine="360"/>
        <w:rPr>
          <w:color w:val="4472C4" w:themeColor="accent1"/>
          <w14:textFill>
            <w14:solidFill>
              <w14:schemeClr w14:val="accent1"/>
            </w14:solidFill>
          </w14:textFill>
        </w:rPr>
      </w:pPr>
      <w:r>
        <w:rPr>
          <w:rFonts w:hint="eastAsia"/>
          <w:color w:val="4472C4" w:themeColor="accent1"/>
          <w14:textFill>
            <w14:solidFill>
              <w14:schemeClr w14:val="accent1"/>
            </w14:solidFill>
          </w14:textFill>
        </w:rPr>
        <w:t>注：其他企业指除国有企业和三资企业之外的所有企业，主要包括民营企业、集体所有制企业等。</w:t>
      </w:r>
    </w:p>
    <w:p>
      <w:pPr>
        <w:ind w:firstLine="360" w:firstLineChars="200"/>
        <w:jc w:val="both"/>
        <w:rPr>
          <w:rFonts w:ascii="Times New Roman" w:hAnsi="Times New Roman"/>
          <w:color w:val="4472C4" w:themeColor="accent1"/>
          <w:sz w:val="18"/>
          <w:szCs w:val="18"/>
          <w:lang w:val="zh-CN"/>
          <w14:textFill>
            <w14:solidFill>
              <w14:schemeClr w14:val="accent1"/>
            </w14:solidFill>
          </w14:textFill>
        </w:rPr>
      </w:pPr>
      <w:bookmarkStart w:id="190" w:name="_Toc525725617"/>
      <w:r>
        <w:rPr>
          <w:rFonts w:hint="eastAsia" w:ascii="Times New Roman" w:hAnsi="Times New Roman"/>
          <w:color w:val="4472C4" w:themeColor="accent1"/>
          <w:sz w:val="18"/>
          <w:szCs w:val="18"/>
          <w:lang w:val="zh-CN"/>
          <w14:textFill>
            <w14:solidFill>
              <w14:schemeClr w14:val="accent1"/>
            </w14:solidFill>
          </w14:textFill>
        </w:rPr>
        <w:t>数据来源：</w:t>
      </w:r>
      <w:r>
        <w:rPr>
          <w:rFonts w:ascii="Times New Roman" w:hAnsi="Times New Roman"/>
          <w:color w:val="4472C4" w:themeColor="accent1"/>
          <w:sz w:val="18"/>
          <w:szCs w:val="18"/>
          <w:lang w:val="zh-CN"/>
          <w14:textFill>
            <w14:solidFill>
              <w14:schemeClr w14:val="accent1"/>
            </w14:solidFill>
          </w14:textFill>
        </w:rPr>
        <w:t>1</w:t>
      </w:r>
      <w:r>
        <w:rPr>
          <w:rFonts w:hint="eastAsia" w:ascii="Times New Roman" w:hAnsi="Times New Roman"/>
          <w:color w:val="4472C4" w:themeColor="accent1"/>
          <w:sz w:val="18"/>
          <w:szCs w:val="18"/>
          <w:lang w:val="zh-CN"/>
          <w14:textFill>
            <w14:solidFill>
              <w14:schemeClr w14:val="accent1"/>
            </w14:solidFill>
          </w14:textFill>
        </w:rPr>
        <w:t>.</w:t>
      </w:r>
      <w:r>
        <w:rPr>
          <w:rFonts w:ascii="Times New Roman" w:hAnsi="Times New Roman"/>
          <w:color w:val="4472C4" w:themeColor="accent1"/>
          <w:sz w:val="18"/>
          <w:szCs w:val="18"/>
          <w:lang w:val="zh-CN"/>
          <w14:textFill>
            <w14:solidFill>
              <w14:schemeClr w14:val="accent1"/>
            </w14:solidFill>
          </w14:textFill>
        </w:rPr>
        <w:t>201</w:t>
      </w:r>
      <w:r>
        <w:rPr>
          <w:rFonts w:hint="eastAsia" w:ascii="Times New Roman" w:hAnsi="Times New Roman"/>
          <w:color w:val="4472C4" w:themeColor="accent1"/>
          <w:sz w:val="18"/>
          <w:szCs w:val="18"/>
          <w:lang w:val="zh-CN"/>
          <w14:textFill>
            <w14:solidFill>
              <w14:schemeClr w14:val="accent1"/>
            </w14:solidFill>
          </w14:textFill>
        </w:rPr>
        <w:t>7届</w:t>
      </w:r>
      <w:r>
        <w:rPr>
          <w:rFonts w:ascii="Times New Roman" w:hAnsi="Times New Roman"/>
          <w:color w:val="4472C4" w:themeColor="accent1"/>
          <w:sz w:val="18"/>
          <w:szCs w:val="18"/>
          <w:lang w:val="zh-CN"/>
          <w14:textFill>
            <w14:solidFill>
              <w14:schemeClr w14:val="accent1"/>
            </w14:solidFill>
          </w14:textFill>
        </w:rPr>
        <w:t>数据来自</w:t>
      </w:r>
      <w:r>
        <w:rPr>
          <w:rFonts w:hint="eastAsia" w:ascii="Times New Roman" w:hAnsi="Times New Roman"/>
          <w:color w:val="4472C4" w:themeColor="accent1"/>
          <w:sz w:val="18"/>
          <w:szCs w:val="18"/>
          <w:lang w:val="zh-CN"/>
          <w14:textFill>
            <w14:solidFill>
              <w14:schemeClr w14:val="accent1"/>
            </w14:solidFill>
          </w14:textFill>
        </w:rPr>
        <w:t>《皖西学院201</w:t>
      </w:r>
      <w:r>
        <w:rPr>
          <w:rFonts w:ascii="Times New Roman" w:hAnsi="Times New Roman"/>
          <w:color w:val="4472C4" w:themeColor="accent1"/>
          <w:sz w:val="18"/>
          <w:szCs w:val="18"/>
          <w:lang w:val="zh-CN"/>
          <w14:textFill>
            <w14:solidFill>
              <w14:schemeClr w14:val="accent1"/>
            </w14:solidFill>
          </w14:textFill>
        </w:rPr>
        <w:t>7</w:t>
      </w:r>
      <w:r>
        <w:rPr>
          <w:rFonts w:hint="eastAsia" w:ascii="Times New Roman" w:hAnsi="Times New Roman"/>
          <w:color w:val="4472C4" w:themeColor="accent1"/>
          <w:sz w:val="18"/>
          <w:szCs w:val="18"/>
          <w:lang w:val="zh-CN"/>
          <w14:textFill>
            <w14:solidFill>
              <w14:schemeClr w14:val="accent1"/>
            </w14:solidFill>
          </w14:textFill>
        </w:rPr>
        <w:t>届</w:t>
      </w:r>
      <w:r>
        <w:rPr>
          <w:rFonts w:ascii="Times New Roman" w:hAnsi="Times New Roman"/>
          <w:color w:val="4472C4" w:themeColor="accent1"/>
          <w:sz w:val="18"/>
          <w:szCs w:val="18"/>
          <w:lang w:val="zh-CN"/>
          <w14:textFill>
            <w14:solidFill>
              <w14:schemeClr w14:val="accent1"/>
            </w14:solidFill>
          </w14:textFill>
        </w:rPr>
        <w:t>毕业生就业质量</w:t>
      </w:r>
      <w:r>
        <w:rPr>
          <w:rFonts w:hint="eastAsia" w:ascii="Times New Roman" w:hAnsi="Times New Roman"/>
          <w:color w:val="4472C4" w:themeColor="accent1"/>
          <w:sz w:val="18"/>
          <w:szCs w:val="18"/>
          <w:lang w:val="zh-CN"/>
          <w14:textFill>
            <w14:solidFill>
              <w14:schemeClr w14:val="accent1"/>
            </w14:solidFill>
          </w14:textFill>
        </w:rPr>
        <w:t>年度</w:t>
      </w:r>
      <w:r>
        <w:rPr>
          <w:rFonts w:ascii="Times New Roman" w:hAnsi="Times New Roman"/>
          <w:color w:val="4472C4" w:themeColor="accent1"/>
          <w:sz w:val="18"/>
          <w:szCs w:val="18"/>
          <w:lang w:val="zh-CN"/>
          <w14:textFill>
            <w14:solidFill>
              <w14:schemeClr w14:val="accent1"/>
            </w14:solidFill>
          </w14:textFill>
        </w:rPr>
        <w:t>报告</w:t>
      </w:r>
      <w:r>
        <w:rPr>
          <w:rFonts w:hint="eastAsia" w:ascii="Times New Roman" w:hAnsi="Times New Roman"/>
          <w:color w:val="4472C4" w:themeColor="accent1"/>
          <w:sz w:val="18"/>
          <w:szCs w:val="18"/>
          <w:lang w:val="zh-CN"/>
          <w14:textFill>
            <w14:solidFill>
              <w14:schemeClr w14:val="accent1"/>
            </w14:solidFill>
          </w14:textFill>
        </w:rPr>
        <w:t>》；</w:t>
      </w:r>
    </w:p>
    <w:p>
      <w:pPr>
        <w:ind w:firstLine="360" w:firstLineChars="200"/>
        <w:jc w:val="both"/>
        <w:rPr>
          <w:rFonts w:ascii="Times New Roman" w:hAnsi="Times New Roman"/>
          <w:color w:val="4472C4" w:themeColor="accent1"/>
          <w:sz w:val="18"/>
          <w:szCs w:val="18"/>
          <w:lang w:val="zh-CN"/>
          <w14:textFill>
            <w14:solidFill>
              <w14:schemeClr w14:val="accent1"/>
            </w14:solidFill>
          </w14:textFill>
        </w:rPr>
      </w:pPr>
      <w:r>
        <w:rPr>
          <w:rFonts w:hint="eastAsia" w:ascii="Times New Roman" w:hAnsi="Times New Roman"/>
          <w:color w:val="4472C4" w:themeColor="accent1"/>
          <w:sz w:val="18"/>
          <w:szCs w:val="18"/>
          <w:lang w:val="zh-CN"/>
          <w14:textFill>
            <w14:solidFill>
              <w14:schemeClr w14:val="accent1"/>
            </w14:solidFill>
          </w14:textFill>
        </w:rPr>
        <w:t xml:space="preserve">          2.</w:t>
      </w:r>
      <w:r>
        <w:rPr>
          <w:rFonts w:ascii="Times New Roman" w:hAnsi="Times New Roman"/>
          <w:color w:val="4472C4" w:themeColor="accent1"/>
          <w:sz w:val="18"/>
          <w:szCs w:val="18"/>
          <w:lang w:val="zh-CN"/>
          <w14:textFill>
            <w14:solidFill>
              <w14:schemeClr w14:val="accent1"/>
            </w14:solidFill>
          </w14:textFill>
        </w:rPr>
        <w:t>201</w:t>
      </w:r>
      <w:r>
        <w:rPr>
          <w:rFonts w:hint="eastAsia" w:ascii="Times New Roman" w:hAnsi="Times New Roman"/>
          <w:color w:val="4472C4" w:themeColor="accent1"/>
          <w:sz w:val="18"/>
          <w:szCs w:val="18"/>
          <w:lang w:val="zh-CN"/>
          <w14:textFill>
            <w14:solidFill>
              <w14:schemeClr w14:val="accent1"/>
            </w14:solidFill>
          </w14:textFill>
        </w:rPr>
        <w:t>8届</w:t>
      </w:r>
      <w:r>
        <w:rPr>
          <w:rFonts w:ascii="Times New Roman" w:hAnsi="Times New Roman"/>
          <w:color w:val="4472C4" w:themeColor="accent1"/>
          <w:sz w:val="18"/>
          <w:szCs w:val="18"/>
          <w:lang w:val="zh-CN"/>
          <w14:textFill>
            <w14:solidFill>
              <w14:schemeClr w14:val="accent1"/>
            </w14:solidFill>
          </w14:textFill>
        </w:rPr>
        <w:t>数据来自</w:t>
      </w:r>
      <w:r>
        <w:rPr>
          <w:rFonts w:hint="eastAsia" w:ascii="Times New Roman" w:hAnsi="Times New Roman"/>
          <w:color w:val="4472C4" w:themeColor="accent1"/>
          <w:sz w:val="18"/>
          <w:szCs w:val="18"/>
          <w:lang w:val="zh-CN"/>
          <w14:textFill>
            <w14:solidFill>
              <w14:schemeClr w14:val="accent1"/>
            </w14:solidFill>
          </w14:textFill>
        </w:rPr>
        <w:t>《皖西学院201</w:t>
      </w:r>
      <w:r>
        <w:rPr>
          <w:rFonts w:ascii="Times New Roman" w:hAnsi="Times New Roman"/>
          <w:color w:val="4472C4" w:themeColor="accent1"/>
          <w:sz w:val="18"/>
          <w:szCs w:val="18"/>
          <w:lang w:val="zh-CN"/>
          <w14:textFill>
            <w14:solidFill>
              <w14:schemeClr w14:val="accent1"/>
            </w14:solidFill>
          </w14:textFill>
        </w:rPr>
        <w:t>8</w:t>
      </w:r>
      <w:r>
        <w:rPr>
          <w:rFonts w:hint="eastAsia" w:ascii="Times New Roman" w:hAnsi="Times New Roman"/>
          <w:color w:val="4472C4" w:themeColor="accent1"/>
          <w:sz w:val="18"/>
          <w:szCs w:val="18"/>
          <w:lang w:val="zh-CN"/>
          <w14:textFill>
            <w14:solidFill>
              <w14:schemeClr w14:val="accent1"/>
            </w14:solidFill>
          </w14:textFill>
        </w:rPr>
        <w:t>届</w:t>
      </w:r>
      <w:r>
        <w:rPr>
          <w:rFonts w:ascii="Times New Roman" w:hAnsi="Times New Roman"/>
          <w:color w:val="4472C4" w:themeColor="accent1"/>
          <w:sz w:val="18"/>
          <w:szCs w:val="18"/>
          <w:lang w:val="zh-CN"/>
          <w14:textFill>
            <w14:solidFill>
              <w14:schemeClr w14:val="accent1"/>
            </w14:solidFill>
          </w14:textFill>
        </w:rPr>
        <w:t>毕业生就业质量</w:t>
      </w:r>
      <w:r>
        <w:rPr>
          <w:rFonts w:hint="eastAsia" w:ascii="Times New Roman" w:hAnsi="Times New Roman"/>
          <w:color w:val="4472C4" w:themeColor="accent1"/>
          <w:sz w:val="18"/>
          <w:szCs w:val="18"/>
          <w:lang w:val="zh-CN"/>
          <w14:textFill>
            <w14:solidFill>
              <w14:schemeClr w14:val="accent1"/>
            </w14:solidFill>
          </w14:textFill>
        </w:rPr>
        <w:t>年度</w:t>
      </w:r>
      <w:r>
        <w:rPr>
          <w:rFonts w:ascii="Times New Roman" w:hAnsi="Times New Roman"/>
          <w:color w:val="4472C4" w:themeColor="accent1"/>
          <w:sz w:val="18"/>
          <w:szCs w:val="18"/>
          <w:lang w:val="zh-CN"/>
          <w14:textFill>
            <w14:solidFill>
              <w14:schemeClr w14:val="accent1"/>
            </w14:solidFill>
          </w14:textFill>
        </w:rPr>
        <w:t>报告</w:t>
      </w:r>
      <w:r>
        <w:rPr>
          <w:rFonts w:hint="eastAsia" w:ascii="Times New Roman" w:hAnsi="Times New Roman"/>
          <w:color w:val="4472C4" w:themeColor="accent1"/>
          <w:sz w:val="18"/>
          <w:szCs w:val="18"/>
          <w:lang w:val="zh-CN"/>
          <w14:textFill>
            <w14:solidFill>
              <w14:schemeClr w14:val="accent1"/>
            </w14:solidFill>
          </w14:textFill>
        </w:rPr>
        <w:t>》；</w:t>
      </w:r>
    </w:p>
    <w:p>
      <w:pPr>
        <w:ind w:firstLine="1260" w:firstLineChars="700"/>
        <w:jc w:val="both"/>
        <w:rPr>
          <w:rFonts w:ascii="Times New Roman" w:hAnsi="Times New Roman"/>
          <w:color w:val="4472C4" w:themeColor="accent1"/>
          <w:sz w:val="18"/>
          <w:szCs w:val="18"/>
          <w:lang w:val="zh-CN"/>
          <w14:textFill>
            <w14:solidFill>
              <w14:schemeClr w14:val="accent1"/>
            </w14:solidFill>
          </w14:textFill>
        </w:rPr>
      </w:pPr>
      <w:r>
        <w:rPr>
          <w:rFonts w:hint="eastAsia" w:ascii="Times New Roman" w:hAnsi="Times New Roman"/>
          <w:color w:val="4472C4" w:themeColor="accent1"/>
          <w:sz w:val="18"/>
          <w:szCs w:val="18"/>
          <w:lang w:val="zh-CN"/>
          <w14:textFill>
            <w14:solidFill>
              <w14:schemeClr w14:val="accent1"/>
            </w14:solidFill>
          </w14:textFill>
        </w:rPr>
        <w:t>3</w:t>
      </w:r>
      <w:r>
        <w:rPr>
          <w:rFonts w:ascii="Times New Roman" w:hAnsi="Times New Roman"/>
          <w:color w:val="4472C4" w:themeColor="accent1"/>
          <w:sz w:val="18"/>
          <w:szCs w:val="18"/>
          <w:lang w:val="zh-CN"/>
          <w14:textFill>
            <w14:solidFill>
              <w14:schemeClr w14:val="accent1"/>
            </w14:solidFill>
          </w14:textFill>
        </w:rPr>
        <w:t>.2019届数据来自</w:t>
      </w:r>
      <w:r>
        <w:rPr>
          <w:rFonts w:hint="eastAsia" w:ascii="Times New Roman" w:hAnsi="Times New Roman"/>
          <w:color w:val="4472C4" w:themeColor="accent1"/>
          <w:sz w:val="18"/>
          <w:szCs w:val="18"/>
          <w:lang w:val="zh-CN"/>
          <w14:textFill>
            <w14:solidFill>
              <w14:schemeClr w14:val="accent1"/>
            </w14:solidFill>
          </w14:textFill>
        </w:rPr>
        <w:t>第三方机构新锦成-</w:t>
      </w:r>
      <w:r>
        <w:rPr>
          <w:rFonts w:ascii="Times New Roman" w:hAnsi="Times New Roman"/>
          <w:color w:val="4472C4" w:themeColor="accent1"/>
          <w:sz w:val="18"/>
          <w:szCs w:val="18"/>
          <w:lang w:val="zh-CN"/>
          <w14:textFill>
            <w14:solidFill>
              <w14:schemeClr w14:val="accent1"/>
            </w14:solidFill>
          </w14:textFill>
        </w:rPr>
        <w:t>2019届</w:t>
      </w:r>
      <w:r>
        <w:rPr>
          <w:rFonts w:hint="eastAsia" w:ascii="Times New Roman" w:hAnsi="Times New Roman"/>
          <w:color w:val="4472C4" w:themeColor="accent1"/>
          <w:sz w:val="18"/>
          <w:szCs w:val="18"/>
          <w:lang w:val="zh-CN"/>
          <w14:textFill>
            <w14:solidFill>
              <w14:schemeClr w14:val="accent1"/>
            </w14:solidFill>
          </w14:textFill>
        </w:rPr>
        <w:t>毕业生就业与培养质量调查。</w:t>
      </w:r>
    </w:p>
    <w:p>
      <w:pPr>
        <w:pStyle w:val="142"/>
        <w:pBdr>
          <w:top w:val="none" w:color="auto" w:sz="0" w:space="0"/>
          <w:left w:val="none" w:color="auto" w:sz="0" w:space="0"/>
          <w:bottom w:val="none" w:color="auto" w:sz="0" w:space="0"/>
          <w:right w:val="none" w:color="auto" w:sz="0" w:space="0"/>
        </w:pBdr>
        <w:rPr>
          <w:color w:val="4472C4" w:themeColor="accent1"/>
          <w14:textFill>
            <w14:solidFill>
              <w14:schemeClr w14:val="accent1"/>
            </w14:solidFill>
          </w14:textFill>
        </w:rPr>
      </w:pPr>
      <w:bookmarkStart w:id="191" w:name="_Toc27601841"/>
      <w:r>
        <w:rPr>
          <w:rFonts w:hint="eastAsia"/>
          <w:color w:val="4472C4" w:themeColor="accent1"/>
          <w14:textFill>
            <w14:solidFill>
              <w14:schemeClr w14:val="accent1"/>
            </w14:solidFill>
          </w14:textFill>
        </w:rPr>
        <w:t>五</w:t>
      </w:r>
      <w:r>
        <w:rPr>
          <w:color w:val="4472C4" w:themeColor="accent1"/>
          <w14:textFill>
            <w14:solidFill>
              <w14:schemeClr w14:val="accent1"/>
            </w14:solidFill>
          </w14:textFill>
        </w:rPr>
        <w:t>、</w:t>
      </w:r>
      <w:bookmarkStart w:id="192" w:name="_Hlk19520462"/>
      <w:r>
        <w:rPr>
          <w:rFonts w:hint="eastAsia"/>
          <w:color w:val="4472C4" w:themeColor="accent1"/>
          <w14:textFill>
            <w14:solidFill>
              <w14:schemeClr w14:val="accent1"/>
            </w14:solidFill>
          </w14:textFill>
        </w:rPr>
        <w:t>毕业生就业行业呈</w:t>
      </w:r>
      <w:r>
        <w:rPr>
          <w:color w:val="4472C4" w:themeColor="accent1"/>
          <w14:textFill>
            <w14:solidFill>
              <w14:schemeClr w14:val="accent1"/>
            </w14:solidFill>
          </w14:textFill>
        </w:rPr>
        <w:t>多</w:t>
      </w:r>
      <w:r>
        <w:rPr>
          <w:rFonts w:hint="eastAsia"/>
          <w:color w:val="4472C4" w:themeColor="accent1"/>
          <w14:textFill>
            <w14:solidFill>
              <w14:schemeClr w14:val="accent1"/>
            </w14:solidFill>
          </w14:textFill>
        </w:rPr>
        <w:t>元</w:t>
      </w:r>
      <w:r>
        <w:rPr>
          <w:color w:val="4472C4" w:themeColor="accent1"/>
          <w14:textFill>
            <w14:solidFill>
              <w14:schemeClr w14:val="accent1"/>
            </w14:solidFill>
          </w14:textFill>
        </w:rPr>
        <w:t>化</w:t>
      </w:r>
      <w:r>
        <w:rPr>
          <w:rFonts w:hint="eastAsia"/>
          <w:color w:val="4472C4" w:themeColor="accent1"/>
          <w14:textFill>
            <w14:solidFill>
              <w14:schemeClr w14:val="accent1"/>
            </w14:solidFill>
          </w14:textFill>
        </w:rPr>
        <w:t>分布，教育领域</w:t>
      </w:r>
      <w:r>
        <w:rPr>
          <w:color w:val="4472C4" w:themeColor="accent1"/>
          <w14:textFill>
            <w14:solidFill>
              <w14:schemeClr w14:val="accent1"/>
            </w14:solidFill>
          </w14:textFill>
        </w:rPr>
        <w:t>优势突出</w:t>
      </w:r>
      <w:bookmarkEnd w:id="190"/>
      <w:bookmarkEnd w:id="191"/>
      <w:bookmarkEnd w:id="192"/>
    </w:p>
    <w:p>
      <w:pPr>
        <w:pStyle w:val="199"/>
        <w:spacing w:before="156" w:beforeLines="50" w:after="156" w:afterLines="50"/>
        <w:ind w:firstLine="480"/>
      </w:pPr>
      <w:r>
        <w:rPr>
          <w:rFonts w:hint="eastAsia"/>
        </w:rPr>
        <w:t>近年来，学校毕业生的就业行业分布较为广泛，覆盖了“教育”、“信息传输、软件和信息技术服务业”、“建筑业”、“制造业”、“批发和零售”、“文化</w:t>
      </w:r>
      <w:r>
        <w:t>、体育和娱乐业</w:t>
      </w:r>
      <w:r>
        <w:rPr>
          <w:rFonts w:hint="eastAsia"/>
        </w:rPr>
        <w:t>”等多个行业，可见学校人才培养目标与社会需求相契合；其中“教育”领域为近三届毕业生主要的就业</w:t>
      </w:r>
      <w:r>
        <w:t>行业</w:t>
      </w:r>
      <w:r>
        <w:rPr>
          <w:rFonts w:hint="eastAsia"/>
        </w:rPr>
        <w:t>选择，占比均处于14.00%以上。201</w:t>
      </w:r>
      <w:r>
        <w:t>9</w:t>
      </w:r>
      <w:r>
        <w:rPr>
          <w:rFonts w:hint="eastAsia"/>
        </w:rPr>
        <w:t>届毕业生</w:t>
      </w:r>
      <w:r>
        <w:t>在</w:t>
      </w:r>
      <w:r>
        <w:rPr>
          <w:rFonts w:hint="eastAsia"/>
        </w:rPr>
        <w:t>“教育”领域就业</w:t>
      </w:r>
      <w:r>
        <w:t>的占比</w:t>
      </w:r>
      <w:r>
        <w:rPr>
          <w:rFonts w:hint="eastAsia"/>
        </w:rPr>
        <w:t>达到19.72</w:t>
      </w:r>
      <w:r>
        <w:t>%。</w:t>
      </w:r>
    </w:p>
    <w:p>
      <w:pPr>
        <w:jc w:val="center"/>
        <w:rPr>
          <w:rFonts w:ascii="宋体" w:hAnsi="宋体"/>
        </w:rPr>
      </w:pPr>
      <w:r>
        <w:rPr>
          <w:rFonts w:ascii="宋体" w:hAnsi="宋体"/>
        </w:rPr>
        <w:drawing>
          <wp:inline distT="0" distB="0" distL="0" distR="0">
            <wp:extent cx="5399405" cy="5543550"/>
            <wp:effectExtent l="0" t="0" r="0" b="0"/>
            <wp:docPr id="915" name="图表 9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pPr>
        <w:pStyle w:val="203"/>
        <w:spacing w:before="0" w:beforeLines="0" w:after="0" w:afterLines="0"/>
      </w:pPr>
      <w:bookmarkStart w:id="193" w:name="_Toc27002319"/>
      <w:bookmarkStart w:id="194" w:name="_Toc525725844"/>
      <w:r>
        <w:rPr>
          <w:rFonts w:hint="eastAsia"/>
        </w:rPr>
        <w:t xml:space="preserve">图4- </w:t>
      </w:r>
      <w:r>
        <w:fldChar w:fldCharType="begin"/>
      </w:r>
      <w:r>
        <w:instrText xml:space="preserve"> </w:instrText>
      </w:r>
      <w:r>
        <w:rPr>
          <w:rFonts w:hint="eastAsia"/>
        </w:rPr>
        <w:instrText xml:space="preserve">SEQ 图4- \* ARABIC</w:instrText>
      </w:r>
      <w:r>
        <w:instrText xml:space="preserve"> </w:instrText>
      </w:r>
      <w:r>
        <w:fldChar w:fldCharType="separate"/>
      </w:r>
      <w:r>
        <w:t>5</w:t>
      </w:r>
      <w:r>
        <w:fldChar w:fldCharType="end"/>
      </w:r>
      <w:r>
        <w:t xml:space="preserve">  2017-2019届毕业生</w:t>
      </w:r>
      <w:r>
        <w:rPr>
          <w:rFonts w:hint="eastAsia"/>
        </w:rPr>
        <w:t>就业行业分布</w:t>
      </w:r>
      <w:bookmarkEnd w:id="193"/>
      <w:bookmarkEnd w:id="194"/>
    </w:p>
    <w:p>
      <w:pPr>
        <w:ind w:firstLine="360" w:firstLineChars="200"/>
        <w:jc w:val="both"/>
        <w:rPr>
          <w:rFonts w:ascii="Times New Roman" w:hAnsi="Times New Roman"/>
          <w:color w:val="4472C4" w:themeColor="accent1"/>
          <w:sz w:val="18"/>
          <w:szCs w:val="18"/>
          <w:lang w:val="zh-CN"/>
          <w14:textFill>
            <w14:solidFill>
              <w14:schemeClr w14:val="accent1"/>
            </w14:solidFill>
          </w14:textFill>
        </w:rPr>
      </w:pPr>
      <w:bookmarkStart w:id="195" w:name="_Toc16673847"/>
      <w:r>
        <w:rPr>
          <w:rFonts w:hint="eastAsia" w:ascii="Times New Roman" w:hAnsi="Times New Roman"/>
          <w:color w:val="4472C4" w:themeColor="accent1"/>
          <w:sz w:val="18"/>
          <w:szCs w:val="18"/>
          <w:lang w:val="zh-CN"/>
          <w14:textFill>
            <w14:solidFill>
              <w14:schemeClr w14:val="accent1"/>
            </w14:solidFill>
          </w14:textFill>
        </w:rPr>
        <w:t>数据来源：</w:t>
      </w:r>
      <w:r>
        <w:rPr>
          <w:rFonts w:ascii="Times New Roman" w:hAnsi="Times New Roman"/>
          <w:color w:val="4472C4" w:themeColor="accent1"/>
          <w:sz w:val="18"/>
          <w:szCs w:val="18"/>
          <w:lang w:val="zh-CN"/>
          <w14:textFill>
            <w14:solidFill>
              <w14:schemeClr w14:val="accent1"/>
            </w14:solidFill>
          </w14:textFill>
        </w:rPr>
        <w:t>1</w:t>
      </w:r>
      <w:r>
        <w:rPr>
          <w:rFonts w:hint="eastAsia" w:ascii="Times New Roman" w:hAnsi="Times New Roman"/>
          <w:color w:val="4472C4" w:themeColor="accent1"/>
          <w:sz w:val="18"/>
          <w:szCs w:val="18"/>
          <w:lang w:val="zh-CN"/>
          <w14:textFill>
            <w14:solidFill>
              <w14:schemeClr w14:val="accent1"/>
            </w14:solidFill>
          </w14:textFill>
        </w:rPr>
        <w:t>.</w:t>
      </w:r>
      <w:r>
        <w:rPr>
          <w:rFonts w:ascii="Times New Roman" w:hAnsi="Times New Roman"/>
          <w:color w:val="4472C4" w:themeColor="accent1"/>
          <w:sz w:val="18"/>
          <w:szCs w:val="18"/>
          <w:lang w:val="zh-CN"/>
          <w14:textFill>
            <w14:solidFill>
              <w14:schemeClr w14:val="accent1"/>
            </w14:solidFill>
          </w14:textFill>
        </w:rPr>
        <w:t>201</w:t>
      </w:r>
      <w:r>
        <w:rPr>
          <w:rFonts w:hint="eastAsia" w:ascii="Times New Roman" w:hAnsi="Times New Roman"/>
          <w:color w:val="4472C4" w:themeColor="accent1"/>
          <w:sz w:val="18"/>
          <w:szCs w:val="18"/>
          <w:lang w:val="zh-CN"/>
          <w14:textFill>
            <w14:solidFill>
              <w14:schemeClr w14:val="accent1"/>
            </w14:solidFill>
          </w14:textFill>
        </w:rPr>
        <w:t>7届</w:t>
      </w:r>
      <w:r>
        <w:rPr>
          <w:rFonts w:ascii="Times New Roman" w:hAnsi="Times New Roman"/>
          <w:color w:val="4472C4" w:themeColor="accent1"/>
          <w:sz w:val="18"/>
          <w:szCs w:val="18"/>
          <w:lang w:val="zh-CN"/>
          <w14:textFill>
            <w14:solidFill>
              <w14:schemeClr w14:val="accent1"/>
            </w14:solidFill>
          </w14:textFill>
        </w:rPr>
        <w:t>数据来自</w:t>
      </w:r>
      <w:r>
        <w:rPr>
          <w:rFonts w:hint="eastAsia" w:ascii="Times New Roman" w:hAnsi="Times New Roman"/>
          <w:color w:val="4472C4" w:themeColor="accent1"/>
          <w:sz w:val="18"/>
          <w:szCs w:val="18"/>
          <w:lang w:val="zh-CN"/>
          <w14:textFill>
            <w14:solidFill>
              <w14:schemeClr w14:val="accent1"/>
            </w14:solidFill>
          </w14:textFill>
        </w:rPr>
        <w:t>《皖西学院201</w:t>
      </w:r>
      <w:r>
        <w:rPr>
          <w:rFonts w:ascii="Times New Roman" w:hAnsi="Times New Roman"/>
          <w:color w:val="4472C4" w:themeColor="accent1"/>
          <w:sz w:val="18"/>
          <w:szCs w:val="18"/>
          <w:lang w:val="zh-CN"/>
          <w14:textFill>
            <w14:solidFill>
              <w14:schemeClr w14:val="accent1"/>
            </w14:solidFill>
          </w14:textFill>
        </w:rPr>
        <w:t>7</w:t>
      </w:r>
      <w:r>
        <w:rPr>
          <w:rFonts w:hint="eastAsia" w:ascii="Times New Roman" w:hAnsi="Times New Roman"/>
          <w:color w:val="4472C4" w:themeColor="accent1"/>
          <w:sz w:val="18"/>
          <w:szCs w:val="18"/>
          <w:lang w:val="zh-CN"/>
          <w14:textFill>
            <w14:solidFill>
              <w14:schemeClr w14:val="accent1"/>
            </w14:solidFill>
          </w14:textFill>
        </w:rPr>
        <w:t>届</w:t>
      </w:r>
      <w:r>
        <w:rPr>
          <w:rFonts w:ascii="Times New Roman" w:hAnsi="Times New Roman"/>
          <w:color w:val="4472C4" w:themeColor="accent1"/>
          <w:sz w:val="18"/>
          <w:szCs w:val="18"/>
          <w:lang w:val="zh-CN"/>
          <w14:textFill>
            <w14:solidFill>
              <w14:schemeClr w14:val="accent1"/>
            </w14:solidFill>
          </w14:textFill>
        </w:rPr>
        <w:t>毕业生就业质量</w:t>
      </w:r>
      <w:r>
        <w:rPr>
          <w:rFonts w:hint="eastAsia" w:ascii="Times New Roman" w:hAnsi="Times New Roman"/>
          <w:color w:val="4472C4" w:themeColor="accent1"/>
          <w:sz w:val="18"/>
          <w:szCs w:val="18"/>
          <w:lang w:val="zh-CN"/>
          <w14:textFill>
            <w14:solidFill>
              <w14:schemeClr w14:val="accent1"/>
            </w14:solidFill>
          </w14:textFill>
        </w:rPr>
        <w:t>年度</w:t>
      </w:r>
      <w:r>
        <w:rPr>
          <w:rFonts w:ascii="Times New Roman" w:hAnsi="Times New Roman"/>
          <w:color w:val="4472C4" w:themeColor="accent1"/>
          <w:sz w:val="18"/>
          <w:szCs w:val="18"/>
          <w:lang w:val="zh-CN"/>
          <w14:textFill>
            <w14:solidFill>
              <w14:schemeClr w14:val="accent1"/>
            </w14:solidFill>
          </w14:textFill>
        </w:rPr>
        <w:t>报告</w:t>
      </w:r>
      <w:r>
        <w:rPr>
          <w:rFonts w:hint="eastAsia" w:ascii="Times New Roman" w:hAnsi="Times New Roman"/>
          <w:color w:val="4472C4" w:themeColor="accent1"/>
          <w:sz w:val="18"/>
          <w:szCs w:val="18"/>
          <w:lang w:val="zh-CN"/>
          <w14:textFill>
            <w14:solidFill>
              <w14:schemeClr w14:val="accent1"/>
            </w14:solidFill>
          </w14:textFill>
        </w:rPr>
        <w:t>》；</w:t>
      </w:r>
    </w:p>
    <w:p>
      <w:pPr>
        <w:ind w:firstLine="360" w:firstLineChars="200"/>
        <w:jc w:val="both"/>
        <w:rPr>
          <w:rFonts w:ascii="Times New Roman" w:hAnsi="Times New Roman"/>
          <w:color w:val="4472C4" w:themeColor="accent1"/>
          <w:sz w:val="18"/>
          <w:szCs w:val="18"/>
          <w:lang w:val="zh-CN"/>
          <w14:textFill>
            <w14:solidFill>
              <w14:schemeClr w14:val="accent1"/>
            </w14:solidFill>
          </w14:textFill>
        </w:rPr>
      </w:pPr>
      <w:r>
        <w:rPr>
          <w:rFonts w:hint="eastAsia" w:ascii="Times New Roman" w:hAnsi="Times New Roman"/>
          <w:color w:val="4472C4" w:themeColor="accent1"/>
          <w:sz w:val="18"/>
          <w:szCs w:val="18"/>
          <w:lang w:val="zh-CN"/>
          <w14:textFill>
            <w14:solidFill>
              <w14:schemeClr w14:val="accent1"/>
            </w14:solidFill>
          </w14:textFill>
        </w:rPr>
        <w:t xml:space="preserve">          2.</w:t>
      </w:r>
      <w:r>
        <w:rPr>
          <w:rFonts w:ascii="Times New Roman" w:hAnsi="Times New Roman"/>
          <w:color w:val="4472C4" w:themeColor="accent1"/>
          <w:sz w:val="18"/>
          <w:szCs w:val="18"/>
          <w:lang w:val="zh-CN"/>
          <w14:textFill>
            <w14:solidFill>
              <w14:schemeClr w14:val="accent1"/>
            </w14:solidFill>
          </w14:textFill>
        </w:rPr>
        <w:t>201</w:t>
      </w:r>
      <w:r>
        <w:rPr>
          <w:rFonts w:hint="eastAsia" w:ascii="Times New Roman" w:hAnsi="Times New Roman"/>
          <w:color w:val="4472C4" w:themeColor="accent1"/>
          <w:sz w:val="18"/>
          <w:szCs w:val="18"/>
          <w:lang w:val="zh-CN"/>
          <w14:textFill>
            <w14:solidFill>
              <w14:schemeClr w14:val="accent1"/>
            </w14:solidFill>
          </w14:textFill>
        </w:rPr>
        <w:t>8届</w:t>
      </w:r>
      <w:r>
        <w:rPr>
          <w:rFonts w:ascii="Times New Roman" w:hAnsi="Times New Roman"/>
          <w:color w:val="4472C4" w:themeColor="accent1"/>
          <w:sz w:val="18"/>
          <w:szCs w:val="18"/>
          <w:lang w:val="zh-CN"/>
          <w14:textFill>
            <w14:solidFill>
              <w14:schemeClr w14:val="accent1"/>
            </w14:solidFill>
          </w14:textFill>
        </w:rPr>
        <w:t>数据来自</w:t>
      </w:r>
      <w:r>
        <w:rPr>
          <w:rFonts w:hint="eastAsia" w:ascii="Times New Roman" w:hAnsi="Times New Roman"/>
          <w:color w:val="4472C4" w:themeColor="accent1"/>
          <w:sz w:val="18"/>
          <w:szCs w:val="18"/>
          <w:lang w:val="zh-CN"/>
          <w14:textFill>
            <w14:solidFill>
              <w14:schemeClr w14:val="accent1"/>
            </w14:solidFill>
          </w14:textFill>
        </w:rPr>
        <w:t>《皖西学院201</w:t>
      </w:r>
      <w:r>
        <w:rPr>
          <w:rFonts w:ascii="Times New Roman" w:hAnsi="Times New Roman"/>
          <w:color w:val="4472C4" w:themeColor="accent1"/>
          <w:sz w:val="18"/>
          <w:szCs w:val="18"/>
          <w:lang w:val="zh-CN"/>
          <w14:textFill>
            <w14:solidFill>
              <w14:schemeClr w14:val="accent1"/>
            </w14:solidFill>
          </w14:textFill>
        </w:rPr>
        <w:t>8</w:t>
      </w:r>
      <w:r>
        <w:rPr>
          <w:rFonts w:hint="eastAsia" w:ascii="Times New Roman" w:hAnsi="Times New Roman"/>
          <w:color w:val="4472C4" w:themeColor="accent1"/>
          <w:sz w:val="18"/>
          <w:szCs w:val="18"/>
          <w:lang w:val="zh-CN"/>
          <w14:textFill>
            <w14:solidFill>
              <w14:schemeClr w14:val="accent1"/>
            </w14:solidFill>
          </w14:textFill>
        </w:rPr>
        <w:t>届</w:t>
      </w:r>
      <w:r>
        <w:rPr>
          <w:rFonts w:ascii="Times New Roman" w:hAnsi="Times New Roman"/>
          <w:color w:val="4472C4" w:themeColor="accent1"/>
          <w:sz w:val="18"/>
          <w:szCs w:val="18"/>
          <w:lang w:val="zh-CN"/>
          <w14:textFill>
            <w14:solidFill>
              <w14:schemeClr w14:val="accent1"/>
            </w14:solidFill>
          </w14:textFill>
        </w:rPr>
        <w:t>毕业生就业质量</w:t>
      </w:r>
      <w:r>
        <w:rPr>
          <w:rFonts w:hint="eastAsia" w:ascii="Times New Roman" w:hAnsi="Times New Roman"/>
          <w:color w:val="4472C4" w:themeColor="accent1"/>
          <w:sz w:val="18"/>
          <w:szCs w:val="18"/>
          <w:lang w:val="zh-CN"/>
          <w14:textFill>
            <w14:solidFill>
              <w14:schemeClr w14:val="accent1"/>
            </w14:solidFill>
          </w14:textFill>
        </w:rPr>
        <w:t>年度</w:t>
      </w:r>
      <w:r>
        <w:rPr>
          <w:rFonts w:ascii="Times New Roman" w:hAnsi="Times New Roman"/>
          <w:color w:val="4472C4" w:themeColor="accent1"/>
          <w:sz w:val="18"/>
          <w:szCs w:val="18"/>
          <w:lang w:val="zh-CN"/>
          <w14:textFill>
            <w14:solidFill>
              <w14:schemeClr w14:val="accent1"/>
            </w14:solidFill>
          </w14:textFill>
        </w:rPr>
        <w:t>报告</w:t>
      </w:r>
      <w:r>
        <w:rPr>
          <w:rFonts w:hint="eastAsia" w:ascii="Times New Roman" w:hAnsi="Times New Roman"/>
          <w:color w:val="4472C4" w:themeColor="accent1"/>
          <w:sz w:val="18"/>
          <w:szCs w:val="18"/>
          <w:lang w:val="zh-CN"/>
          <w14:textFill>
            <w14:solidFill>
              <w14:schemeClr w14:val="accent1"/>
            </w14:solidFill>
          </w14:textFill>
        </w:rPr>
        <w:t>》；</w:t>
      </w:r>
    </w:p>
    <w:p>
      <w:pPr>
        <w:ind w:firstLine="1260" w:firstLineChars="700"/>
        <w:jc w:val="both"/>
        <w:rPr>
          <w:rFonts w:ascii="Times New Roman" w:hAnsi="Times New Roman"/>
          <w:color w:val="4472C4" w:themeColor="accent1"/>
          <w:sz w:val="18"/>
          <w:szCs w:val="18"/>
          <w:lang w:val="zh-CN"/>
          <w14:textFill>
            <w14:solidFill>
              <w14:schemeClr w14:val="accent1"/>
            </w14:solidFill>
          </w14:textFill>
        </w:rPr>
      </w:pPr>
      <w:r>
        <w:rPr>
          <w:rFonts w:hint="eastAsia" w:ascii="Times New Roman" w:hAnsi="Times New Roman"/>
          <w:color w:val="4472C4" w:themeColor="accent1"/>
          <w:sz w:val="18"/>
          <w:szCs w:val="18"/>
          <w:lang w:val="zh-CN"/>
          <w14:textFill>
            <w14:solidFill>
              <w14:schemeClr w14:val="accent1"/>
            </w14:solidFill>
          </w14:textFill>
        </w:rPr>
        <w:t>3</w:t>
      </w:r>
      <w:r>
        <w:rPr>
          <w:rFonts w:ascii="Times New Roman" w:hAnsi="Times New Roman"/>
          <w:color w:val="4472C4" w:themeColor="accent1"/>
          <w:sz w:val="18"/>
          <w:szCs w:val="18"/>
          <w:lang w:val="zh-CN"/>
          <w14:textFill>
            <w14:solidFill>
              <w14:schemeClr w14:val="accent1"/>
            </w14:solidFill>
          </w14:textFill>
        </w:rPr>
        <w:t>.2019届数据来自</w:t>
      </w:r>
      <w:r>
        <w:rPr>
          <w:rFonts w:hint="eastAsia" w:ascii="Times New Roman" w:hAnsi="Times New Roman"/>
          <w:color w:val="4472C4" w:themeColor="accent1"/>
          <w:sz w:val="18"/>
          <w:szCs w:val="18"/>
          <w:lang w:val="zh-CN"/>
          <w14:textFill>
            <w14:solidFill>
              <w14:schemeClr w14:val="accent1"/>
            </w14:solidFill>
          </w14:textFill>
        </w:rPr>
        <w:t>第三方机构新锦成-</w:t>
      </w:r>
      <w:r>
        <w:rPr>
          <w:rFonts w:ascii="Times New Roman" w:hAnsi="Times New Roman"/>
          <w:color w:val="4472C4" w:themeColor="accent1"/>
          <w:sz w:val="18"/>
          <w:szCs w:val="18"/>
          <w:lang w:val="zh-CN"/>
          <w14:textFill>
            <w14:solidFill>
              <w14:schemeClr w14:val="accent1"/>
            </w14:solidFill>
          </w14:textFill>
        </w:rPr>
        <w:t>2019届</w:t>
      </w:r>
      <w:r>
        <w:rPr>
          <w:rFonts w:hint="eastAsia" w:ascii="Times New Roman" w:hAnsi="Times New Roman"/>
          <w:color w:val="4472C4" w:themeColor="accent1"/>
          <w:sz w:val="18"/>
          <w:szCs w:val="18"/>
          <w:lang w:val="zh-CN"/>
          <w14:textFill>
            <w14:solidFill>
              <w14:schemeClr w14:val="accent1"/>
            </w14:solidFill>
          </w14:textFill>
        </w:rPr>
        <w:t>毕业生就业与培养质量调查。</w:t>
      </w:r>
    </w:p>
    <w:bookmarkEnd w:id="195"/>
    <w:p>
      <w:pPr>
        <w:pStyle w:val="142"/>
        <w:pBdr>
          <w:top w:val="none" w:color="auto" w:sz="0" w:space="0"/>
          <w:left w:val="none" w:color="auto" w:sz="0" w:space="0"/>
          <w:bottom w:val="none" w:color="auto" w:sz="0" w:space="0"/>
          <w:right w:val="none" w:color="auto" w:sz="0" w:space="0"/>
        </w:pBdr>
        <w:rPr>
          <w:color w:val="4472C4" w:themeColor="accent1"/>
          <w:highlight w:val="green"/>
          <w14:textFill>
            <w14:solidFill>
              <w14:schemeClr w14:val="accent1"/>
            </w14:solidFill>
          </w14:textFill>
        </w:rPr>
      </w:pPr>
      <w:bookmarkStart w:id="196" w:name="_Toc27601842"/>
      <w:bookmarkStart w:id="197" w:name="_Toc16673862"/>
      <w:r>
        <w:rPr>
          <w:rFonts w:hint="eastAsia"/>
          <w:color w:val="4472C4" w:themeColor="accent1"/>
          <w14:textFill>
            <w14:solidFill>
              <w14:schemeClr w14:val="accent1"/>
            </w14:solidFill>
          </w14:textFill>
        </w:rPr>
        <w:t>六、毕业生就业质量稳步提升，学校人才培养目标愈加契合社会需求</w:t>
      </w:r>
      <w:bookmarkEnd w:id="196"/>
    </w:p>
    <w:p>
      <w:pPr>
        <w:pStyle w:val="199"/>
        <w:spacing w:before="156" w:beforeLines="50" w:after="156" w:afterLines="50"/>
        <w:ind w:firstLine="480"/>
      </w:pPr>
      <w:r>
        <w:rPr>
          <w:rFonts w:hint="eastAsia"/>
        </w:rPr>
        <w:t>依托地区地方经济发展和学校人才</w:t>
      </w:r>
      <w:r>
        <w:t>培养质量</w:t>
      </w:r>
      <w:r>
        <w:rPr>
          <w:rFonts w:hint="eastAsia"/>
        </w:rPr>
        <w:t>的逐步</w:t>
      </w:r>
      <w:r>
        <w:t>提高，</w:t>
      </w:r>
      <w:r>
        <w:rPr>
          <w:rFonts w:hint="eastAsia"/>
        </w:rPr>
        <w:t>学校近三届毕业生总体月均收入</w:t>
      </w:r>
      <w:r>
        <w:t>水平</w:t>
      </w:r>
      <w:r>
        <w:rPr>
          <w:rFonts w:hint="eastAsia"/>
        </w:rPr>
        <w:t>呈现</w:t>
      </w:r>
      <w:r>
        <w:t>上升趋势</w:t>
      </w:r>
      <w:r>
        <w:rPr>
          <w:rFonts w:hint="eastAsia"/>
        </w:rPr>
        <w:t>。</w:t>
      </w:r>
      <w:r>
        <w:t>与</w:t>
      </w:r>
      <w:r>
        <w:rPr>
          <w:rFonts w:hint="eastAsia"/>
        </w:rPr>
        <w:t>201</w:t>
      </w:r>
      <w:r>
        <w:t>8</w:t>
      </w:r>
      <w:r>
        <w:rPr>
          <w:rFonts w:hint="eastAsia"/>
        </w:rPr>
        <w:t>届</w:t>
      </w:r>
      <w:r>
        <w:t>相比，</w:t>
      </w:r>
      <w:r>
        <w:rPr>
          <w:rFonts w:hint="eastAsia"/>
        </w:rPr>
        <w:t>2019届毕业生</w:t>
      </w:r>
      <w:r>
        <w:t>的</w:t>
      </w:r>
      <w:r>
        <w:rPr>
          <w:rFonts w:hint="eastAsia"/>
        </w:rPr>
        <w:t>月均收入上涨</w:t>
      </w:r>
      <w:r>
        <w:t>177.40</w:t>
      </w:r>
      <w:r>
        <w:rPr>
          <w:rFonts w:hint="eastAsia"/>
        </w:rPr>
        <w:t>元</w:t>
      </w:r>
      <w:r>
        <w:t>，薪酬水平上浮4.22</w:t>
      </w:r>
      <w:r>
        <w:rPr>
          <w:rFonts w:hint="eastAsia"/>
        </w:rPr>
        <w:t>个</w:t>
      </w:r>
      <w:r>
        <w:t>百分点</w:t>
      </w:r>
      <w:r>
        <w:rPr>
          <w:rFonts w:hint="eastAsia"/>
        </w:rPr>
        <w:t>。</w:t>
      </w:r>
    </w:p>
    <w:p>
      <w:pPr>
        <w:pStyle w:val="199"/>
        <w:spacing w:before="156" w:beforeLines="50" w:after="156" w:afterLines="50"/>
        <w:ind w:firstLine="480"/>
      </w:pPr>
      <w:r>
        <w:rPr>
          <w:rFonts w:hint="eastAsia"/>
        </w:rPr>
        <w:t>专业</w:t>
      </w:r>
      <w:r>
        <w:t>相关度方面</w:t>
      </w:r>
      <w:r>
        <w:rPr>
          <w:rFonts w:hint="eastAsia"/>
        </w:rPr>
        <w:t>，</w:t>
      </w:r>
      <w:r>
        <w:t>毕业生</w:t>
      </w:r>
      <w:r>
        <w:rPr>
          <w:rFonts w:hint="eastAsia"/>
        </w:rPr>
        <w:t>工作</w:t>
      </w:r>
      <w:r>
        <w:t>的专业</w:t>
      </w:r>
      <w:r>
        <w:rPr>
          <w:rFonts w:hint="eastAsia"/>
        </w:rPr>
        <w:t>相关度</w:t>
      </w:r>
      <w:r>
        <w:t>始终保持在</w:t>
      </w:r>
      <w:r>
        <w:rPr>
          <w:rFonts w:hint="eastAsia"/>
        </w:rPr>
        <w:t>7</w:t>
      </w:r>
      <w:r>
        <w:t>6</w:t>
      </w:r>
      <w:r>
        <w:rPr>
          <w:rFonts w:hint="eastAsia"/>
        </w:rPr>
        <w:t>.00</w:t>
      </w:r>
      <w:r>
        <w:t>%以上。</w:t>
      </w:r>
    </w:p>
    <w:p>
      <w:pPr>
        <w:jc w:val="center"/>
        <w:rPr>
          <w:rFonts w:ascii="宋体" w:hAnsi="宋体"/>
        </w:rPr>
      </w:pPr>
      <w:r>
        <w:rPr>
          <w:rFonts w:ascii="宋体" w:hAnsi="宋体"/>
        </w:rPr>
        <w:drawing>
          <wp:inline distT="0" distB="0" distL="0" distR="0">
            <wp:extent cx="2879725" cy="1439545"/>
            <wp:effectExtent l="0" t="0" r="0" b="8255"/>
            <wp:docPr id="916" name="图表 9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pPr>
        <w:pStyle w:val="203"/>
        <w:spacing w:before="0" w:beforeLines="0" w:after="0" w:afterLines="0"/>
      </w:pPr>
      <w:bookmarkStart w:id="198" w:name="_Toc27002320"/>
      <w:r>
        <w:rPr>
          <w:rFonts w:hint="eastAsia"/>
        </w:rPr>
        <w:t xml:space="preserve">图4- </w:t>
      </w:r>
      <w:r>
        <w:fldChar w:fldCharType="begin"/>
      </w:r>
      <w:r>
        <w:instrText xml:space="preserve"> </w:instrText>
      </w:r>
      <w:r>
        <w:rPr>
          <w:rFonts w:hint="eastAsia"/>
        </w:rPr>
        <w:instrText xml:space="preserve">SEQ 图4- \* ARABIC</w:instrText>
      </w:r>
      <w:r>
        <w:instrText xml:space="preserve"> </w:instrText>
      </w:r>
      <w:r>
        <w:fldChar w:fldCharType="separate"/>
      </w:r>
      <w:r>
        <w:t>6</w:t>
      </w:r>
      <w:r>
        <w:fldChar w:fldCharType="end"/>
      </w:r>
      <w:r>
        <w:t xml:space="preserve">  2018</w:t>
      </w:r>
      <w:r>
        <w:rPr>
          <w:rFonts w:hint="eastAsia"/>
        </w:rPr>
        <w:t>、</w:t>
      </w:r>
      <w:r>
        <w:t>2019届</w:t>
      </w:r>
      <w:r>
        <w:rPr>
          <w:rFonts w:hint="eastAsia"/>
        </w:rPr>
        <w:t>毕业生月均收入（单位：元）</w:t>
      </w:r>
      <w:bookmarkEnd w:id="198"/>
    </w:p>
    <w:p>
      <w:pPr>
        <w:pStyle w:val="119"/>
        <w:ind w:firstLine="360"/>
        <w:rPr>
          <w:color w:val="4472C4" w:themeColor="accent1"/>
          <w14:textFill>
            <w14:solidFill>
              <w14:schemeClr w14:val="accent1"/>
            </w14:solidFill>
          </w14:textFill>
        </w:rPr>
      </w:pPr>
      <w:r>
        <w:rPr>
          <w:rFonts w:hint="eastAsia"/>
          <w:color w:val="4472C4" w:themeColor="accent1"/>
          <w14:textFill>
            <w14:solidFill>
              <w14:schemeClr w14:val="accent1"/>
            </w14:solidFill>
          </w14:textFill>
        </w:rPr>
        <w:t>数据来源：1.2</w:t>
      </w:r>
      <w:r>
        <w:rPr>
          <w:color w:val="4472C4" w:themeColor="accent1"/>
          <w14:textFill>
            <w14:solidFill>
              <w14:schemeClr w14:val="accent1"/>
            </w14:solidFill>
          </w14:textFill>
        </w:rPr>
        <w:t>018</w:t>
      </w:r>
      <w:r>
        <w:rPr>
          <w:rFonts w:hint="eastAsia"/>
          <w:color w:val="4472C4" w:themeColor="accent1"/>
          <w14:textFill>
            <w14:solidFill>
              <w14:schemeClr w14:val="accent1"/>
            </w14:solidFill>
          </w14:textFill>
        </w:rPr>
        <w:t>届</w:t>
      </w:r>
      <w:r>
        <w:rPr>
          <w:color w:val="4472C4" w:themeColor="accent1"/>
          <w14:textFill>
            <w14:solidFill>
              <w14:schemeClr w14:val="accent1"/>
            </w14:solidFill>
          </w14:textFill>
        </w:rPr>
        <w:t>数据来自《</w:t>
      </w:r>
      <w:r>
        <w:rPr>
          <w:rFonts w:hint="eastAsia"/>
          <w:color w:val="4472C4" w:themeColor="accent1"/>
          <w14:textFill>
            <w14:solidFill>
              <w14:schemeClr w14:val="accent1"/>
            </w14:solidFill>
          </w14:textFill>
        </w:rPr>
        <w:t>皖西学院201</w:t>
      </w:r>
      <w:r>
        <w:rPr>
          <w:color w:val="4472C4" w:themeColor="accent1"/>
          <w14:textFill>
            <w14:solidFill>
              <w14:schemeClr w14:val="accent1"/>
            </w14:solidFill>
          </w14:textFill>
        </w:rPr>
        <w:t>8</w:t>
      </w:r>
      <w:r>
        <w:rPr>
          <w:rFonts w:hint="eastAsia"/>
          <w:color w:val="4472C4" w:themeColor="accent1"/>
          <w14:textFill>
            <w14:solidFill>
              <w14:schemeClr w14:val="accent1"/>
            </w14:solidFill>
          </w14:textFill>
        </w:rPr>
        <w:t>届</w:t>
      </w:r>
      <w:r>
        <w:rPr>
          <w:color w:val="4472C4" w:themeColor="accent1"/>
          <w14:textFill>
            <w14:solidFill>
              <w14:schemeClr w14:val="accent1"/>
            </w14:solidFill>
          </w14:textFill>
        </w:rPr>
        <w:t>毕业生就业质量年度报告》</w:t>
      </w:r>
      <w:r>
        <w:rPr>
          <w:rFonts w:hint="eastAsia"/>
          <w:color w:val="4472C4" w:themeColor="accent1"/>
          <w14:textFill>
            <w14:solidFill>
              <w14:schemeClr w14:val="accent1"/>
            </w14:solidFill>
          </w14:textFill>
        </w:rPr>
        <w:t>；</w:t>
      </w:r>
    </w:p>
    <w:p>
      <w:pPr>
        <w:pStyle w:val="119"/>
        <w:spacing w:after="156" w:afterLines="50"/>
        <w:ind w:firstLine="360"/>
        <w:rPr>
          <w:color w:val="4472C4" w:themeColor="accent1"/>
          <w14:textFill>
            <w14:solidFill>
              <w14:schemeClr w14:val="accent1"/>
            </w14:solidFill>
          </w14:textFill>
        </w:rPr>
      </w:pPr>
      <w:r>
        <w:rPr>
          <w:rFonts w:hint="eastAsia"/>
          <w:color w:val="4472C4" w:themeColor="accent1"/>
          <w14:textFill>
            <w14:solidFill>
              <w14:schemeClr w14:val="accent1"/>
            </w14:solidFill>
          </w14:textFill>
        </w:rPr>
        <w:t xml:space="preserve">   </w:t>
      </w:r>
      <w:r>
        <w:rPr>
          <w:color w:val="4472C4" w:themeColor="accent1"/>
          <w14:textFill>
            <w14:solidFill>
              <w14:schemeClr w14:val="accent1"/>
            </w14:solidFill>
          </w14:textFill>
        </w:rPr>
        <w:t xml:space="preserve">      </w:t>
      </w:r>
      <w:r>
        <w:rPr>
          <w:rFonts w:hint="eastAsia"/>
          <w:color w:val="4472C4" w:themeColor="accent1"/>
          <w14:textFill>
            <w14:solidFill>
              <w14:schemeClr w14:val="accent1"/>
            </w14:solidFill>
          </w14:textFill>
        </w:rPr>
        <w:t xml:space="preserve"> 2.</w:t>
      </w:r>
      <w:r>
        <w:rPr>
          <w:color w:val="4472C4" w:themeColor="accent1"/>
          <w14:textFill>
            <w14:solidFill>
              <w14:schemeClr w14:val="accent1"/>
            </w14:solidFill>
          </w14:textFill>
        </w:rPr>
        <w:t>2019届数据来自</w:t>
      </w:r>
      <w:r>
        <w:rPr>
          <w:rFonts w:hint="eastAsia"/>
          <w:color w:val="4472C4" w:themeColor="accent1"/>
          <w14:textFill>
            <w14:solidFill>
              <w14:schemeClr w14:val="accent1"/>
            </w14:solidFill>
          </w14:textFill>
        </w:rPr>
        <w:t>第三方机构新锦成</w:t>
      </w:r>
      <w:r>
        <w:rPr>
          <w:color w:val="4472C4" w:themeColor="accent1"/>
          <w14:textFill>
            <w14:solidFill>
              <w14:schemeClr w14:val="accent1"/>
            </w14:solidFill>
          </w14:textFill>
        </w:rPr>
        <w:t>-2019届</w:t>
      </w:r>
      <w:r>
        <w:rPr>
          <w:rFonts w:hint="eastAsia"/>
          <w:color w:val="4472C4" w:themeColor="accent1"/>
          <w14:textFill>
            <w14:solidFill>
              <w14:schemeClr w14:val="accent1"/>
            </w14:solidFill>
          </w14:textFill>
        </w:rPr>
        <w:t>毕业生就业与培养质量调查。</w:t>
      </w:r>
    </w:p>
    <w:p>
      <w:pPr>
        <w:jc w:val="center"/>
        <w:rPr>
          <w:rFonts w:ascii="宋体" w:hAnsi="宋体"/>
        </w:rPr>
      </w:pPr>
      <w:r>
        <w:rPr>
          <w:rFonts w:ascii="宋体" w:hAnsi="宋体"/>
        </w:rPr>
        <w:drawing>
          <wp:inline distT="0" distB="0" distL="0" distR="0">
            <wp:extent cx="3239770" cy="1249045"/>
            <wp:effectExtent l="0" t="0" r="0" b="8255"/>
            <wp:docPr id="917" name="图表 9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pPr>
        <w:pStyle w:val="203"/>
        <w:spacing w:before="0" w:beforeLines="0" w:after="0" w:afterLines="0"/>
      </w:pPr>
      <w:bookmarkStart w:id="199" w:name="_Toc16673953"/>
      <w:bookmarkStart w:id="200" w:name="_Toc27002321"/>
      <w:r>
        <w:rPr>
          <w:rFonts w:hint="eastAsia"/>
        </w:rPr>
        <w:t xml:space="preserve">图4- </w:t>
      </w:r>
      <w:r>
        <w:fldChar w:fldCharType="begin"/>
      </w:r>
      <w:r>
        <w:instrText xml:space="preserve"> </w:instrText>
      </w:r>
      <w:r>
        <w:rPr>
          <w:rFonts w:hint="eastAsia"/>
        </w:rPr>
        <w:instrText xml:space="preserve">SEQ 图4- \* ARABIC</w:instrText>
      </w:r>
      <w:r>
        <w:instrText xml:space="preserve"> </w:instrText>
      </w:r>
      <w:r>
        <w:fldChar w:fldCharType="separate"/>
      </w:r>
      <w:r>
        <w:t>7</w:t>
      </w:r>
      <w:r>
        <w:fldChar w:fldCharType="end"/>
      </w:r>
      <w:r>
        <w:t xml:space="preserve">  2018</w:t>
      </w:r>
      <w:r>
        <w:rPr>
          <w:rFonts w:hint="eastAsia"/>
        </w:rPr>
        <w:t>、</w:t>
      </w:r>
      <w:r>
        <w:t>2019届</w:t>
      </w:r>
      <w:r>
        <w:rPr>
          <w:rFonts w:hint="eastAsia"/>
        </w:rPr>
        <w:t>毕业生专业</w:t>
      </w:r>
      <w:r>
        <w:t>相关度</w:t>
      </w:r>
      <w:r>
        <w:rPr>
          <w:rFonts w:hint="eastAsia"/>
        </w:rPr>
        <w:t>变化</w:t>
      </w:r>
      <w:r>
        <w:t>情况</w:t>
      </w:r>
      <w:bookmarkEnd w:id="199"/>
      <w:bookmarkEnd w:id="200"/>
    </w:p>
    <w:p>
      <w:pPr>
        <w:pStyle w:val="119"/>
        <w:ind w:firstLine="360"/>
        <w:rPr>
          <w:color w:val="4472C4" w:themeColor="accent1"/>
          <w14:textFill>
            <w14:solidFill>
              <w14:schemeClr w14:val="accent1"/>
            </w14:solidFill>
          </w14:textFill>
        </w:rPr>
      </w:pPr>
      <w:r>
        <w:rPr>
          <w:rFonts w:hint="eastAsia"/>
          <w:color w:val="4472C4" w:themeColor="accent1"/>
          <w14:textFill>
            <w14:solidFill>
              <w14:schemeClr w14:val="accent1"/>
            </w14:solidFill>
          </w14:textFill>
        </w:rPr>
        <w:t>数据来源：1.2</w:t>
      </w:r>
      <w:r>
        <w:rPr>
          <w:color w:val="4472C4" w:themeColor="accent1"/>
          <w14:textFill>
            <w14:solidFill>
              <w14:schemeClr w14:val="accent1"/>
            </w14:solidFill>
          </w14:textFill>
        </w:rPr>
        <w:t>018</w:t>
      </w:r>
      <w:r>
        <w:rPr>
          <w:rFonts w:hint="eastAsia"/>
          <w:color w:val="4472C4" w:themeColor="accent1"/>
          <w14:textFill>
            <w14:solidFill>
              <w14:schemeClr w14:val="accent1"/>
            </w14:solidFill>
          </w14:textFill>
        </w:rPr>
        <w:t>届</w:t>
      </w:r>
      <w:r>
        <w:rPr>
          <w:color w:val="4472C4" w:themeColor="accent1"/>
          <w14:textFill>
            <w14:solidFill>
              <w14:schemeClr w14:val="accent1"/>
            </w14:solidFill>
          </w14:textFill>
        </w:rPr>
        <w:t>数据来自《</w:t>
      </w:r>
      <w:r>
        <w:rPr>
          <w:rFonts w:hint="eastAsia"/>
          <w:color w:val="4472C4" w:themeColor="accent1"/>
          <w14:textFill>
            <w14:solidFill>
              <w14:schemeClr w14:val="accent1"/>
            </w14:solidFill>
          </w14:textFill>
        </w:rPr>
        <w:t>皖西学院201</w:t>
      </w:r>
      <w:r>
        <w:rPr>
          <w:color w:val="4472C4" w:themeColor="accent1"/>
          <w14:textFill>
            <w14:solidFill>
              <w14:schemeClr w14:val="accent1"/>
            </w14:solidFill>
          </w14:textFill>
        </w:rPr>
        <w:t>8</w:t>
      </w:r>
      <w:r>
        <w:rPr>
          <w:rFonts w:hint="eastAsia"/>
          <w:color w:val="4472C4" w:themeColor="accent1"/>
          <w14:textFill>
            <w14:solidFill>
              <w14:schemeClr w14:val="accent1"/>
            </w14:solidFill>
          </w14:textFill>
        </w:rPr>
        <w:t>届</w:t>
      </w:r>
      <w:r>
        <w:rPr>
          <w:color w:val="4472C4" w:themeColor="accent1"/>
          <w14:textFill>
            <w14:solidFill>
              <w14:schemeClr w14:val="accent1"/>
            </w14:solidFill>
          </w14:textFill>
        </w:rPr>
        <w:t>毕业生就业质量年度报告》</w:t>
      </w:r>
      <w:r>
        <w:rPr>
          <w:rFonts w:hint="eastAsia"/>
          <w:color w:val="4472C4" w:themeColor="accent1"/>
          <w14:textFill>
            <w14:solidFill>
              <w14:schemeClr w14:val="accent1"/>
            </w14:solidFill>
          </w14:textFill>
        </w:rPr>
        <w:t>；</w:t>
      </w:r>
    </w:p>
    <w:p>
      <w:pPr>
        <w:pStyle w:val="119"/>
        <w:spacing w:after="156" w:afterLines="50"/>
        <w:ind w:firstLine="360"/>
        <w:rPr>
          <w:color w:val="4472C4" w:themeColor="accent1"/>
          <w14:textFill>
            <w14:solidFill>
              <w14:schemeClr w14:val="accent1"/>
            </w14:solidFill>
          </w14:textFill>
        </w:rPr>
      </w:pPr>
      <w:r>
        <w:rPr>
          <w:rFonts w:hint="eastAsia"/>
          <w:color w:val="4472C4" w:themeColor="accent1"/>
          <w14:textFill>
            <w14:solidFill>
              <w14:schemeClr w14:val="accent1"/>
            </w14:solidFill>
          </w14:textFill>
        </w:rPr>
        <w:t xml:space="preserve">   </w:t>
      </w:r>
      <w:r>
        <w:rPr>
          <w:color w:val="4472C4" w:themeColor="accent1"/>
          <w14:textFill>
            <w14:solidFill>
              <w14:schemeClr w14:val="accent1"/>
            </w14:solidFill>
          </w14:textFill>
        </w:rPr>
        <w:t xml:space="preserve">      </w:t>
      </w:r>
      <w:r>
        <w:rPr>
          <w:rFonts w:hint="eastAsia"/>
          <w:color w:val="4472C4" w:themeColor="accent1"/>
          <w14:textFill>
            <w14:solidFill>
              <w14:schemeClr w14:val="accent1"/>
            </w14:solidFill>
          </w14:textFill>
        </w:rPr>
        <w:t xml:space="preserve"> 2.</w:t>
      </w:r>
      <w:r>
        <w:rPr>
          <w:color w:val="4472C4" w:themeColor="accent1"/>
          <w14:textFill>
            <w14:solidFill>
              <w14:schemeClr w14:val="accent1"/>
            </w14:solidFill>
          </w14:textFill>
        </w:rPr>
        <w:t>2019届数据来自</w:t>
      </w:r>
      <w:r>
        <w:rPr>
          <w:rFonts w:hint="eastAsia"/>
          <w:color w:val="4472C4" w:themeColor="accent1"/>
          <w14:textFill>
            <w14:solidFill>
              <w14:schemeClr w14:val="accent1"/>
            </w14:solidFill>
          </w14:textFill>
        </w:rPr>
        <w:t>第三方机构新锦成</w:t>
      </w:r>
      <w:r>
        <w:rPr>
          <w:color w:val="4472C4" w:themeColor="accent1"/>
          <w14:textFill>
            <w14:solidFill>
              <w14:schemeClr w14:val="accent1"/>
            </w14:solidFill>
          </w14:textFill>
        </w:rPr>
        <w:t>-2019届</w:t>
      </w:r>
      <w:r>
        <w:rPr>
          <w:rFonts w:hint="eastAsia"/>
          <w:color w:val="4472C4" w:themeColor="accent1"/>
          <w14:textFill>
            <w14:solidFill>
              <w14:schemeClr w14:val="accent1"/>
            </w14:solidFill>
          </w14:textFill>
        </w:rPr>
        <w:t>毕业生就业与培养质量调查。</w:t>
      </w:r>
    </w:p>
    <w:p>
      <w:pPr>
        <w:spacing w:line="360" w:lineRule="auto"/>
        <w:ind w:firstLine="720" w:firstLineChars="200"/>
        <w:jc w:val="center"/>
        <w:rPr>
          <w:color w:val="5B9BD5" w:themeColor="accent5"/>
          <w14:textFill>
            <w14:solidFill>
              <w14:schemeClr w14:val="accent5"/>
            </w14:solidFill>
          </w14:textFill>
        </w:rPr>
      </w:pPr>
      <w:r>
        <w:rPr>
          <w:b/>
          <w:sz w:val="36"/>
          <w:szCs w:val="36"/>
        </w:rPr>
        <w:br w:type="page"/>
      </w:r>
    </w:p>
    <w:p>
      <w:pPr>
        <w:pStyle w:val="169"/>
        <w:spacing w:before="156" w:after="312"/>
      </w:pPr>
      <w:bookmarkStart w:id="201" w:name="_Toc27601843"/>
      <w:r>
        <w:rPr>
          <w:rFonts w:hint="eastAsia"/>
        </w:rPr>
        <w:t>第五篇</w:t>
      </w:r>
      <w:r>
        <w:t>：</w:t>
      </w:r>
      <w:bookmarkEnd w:id="197"/>
      <w:r>
        <w:rPr>
          <w:rFonts w:hint="eastAsia"/>
        </w:rPr>
        <w:t>就业对教育教学的反馈</w:t>
      </w:r>
      <w:bookmarkEnd w:id="201"/>
    </w:p>
    <w:p>
      <w:pPr>
        <w:pStyle w:val="136"/>
        <w:spacing w:before="156" w:beforeLines="50" w:after="156" w:afterLines="50"/>
        <w:ind w:firstLine="480"/>
      </w:pPr>
      <w:bookmarkStart w:id="202" w:name="_Toc16673863"/>
      <w:bookmarkStart w:id="203" w:name="_Toc487790111"/>
      <w:bookmarkStart w:id="204" w:name="_Toc520328946"/>
      <w:bookmarkStart w:id="205" w:name="_Toc487789930"/>
      <w:bookmarkStart w:id="206" w:name="_Toc425351822"/>
      <w:r>
        <w:rPr>
          <w:rFonts w:hint="eastAsia"/>
        </w:rPr>
        <w:t>学生对母校的教育教学评价对于学校专业结构的优化、培养方案的完善及课程设置的改进等具有重要的参考价值，因此调查了解毕业生对母校的满意度及推荐度、对课堂教学的评价、实践教学环节的评价、任课教师的评价及能力素质的评价。这些调查将为学校有关部门在教育教学改革、人才培养等方面提供数据支持。具体</w:t>
      </w:r>
      <w:r>
        <w:t>内容如下所示。</w:t>
      </w:r>
    </w:p>
    <w:bookmarkEnd w:id="202"/>
    <w:bookmarkEnd w:id="203"/>
    <w:bookmarkEnd w:id="204"/>
    <w:bookmarkEnd w:id="205"/>
    <w:p>
      <w:pPr>
        <w:pStyle w:val="142"/>
        <w:rPr>
          <w:color w:val="4472C4" w:themeColor="accent1"/>
          <w14:textFill>
            <w14:solidFill>
              <w14:schemeClr w14:val="accent1"/>
            </w14:solidFill>
          </w14:textFill>
        </w:rPr>
      </w:pPr>
      <w:bookmarkStart w:id="207" w:name="_Toc525725634"/>
      <w:bookmarkStart w:id="208" w:name="_Toc27601844"/>
      <w:r>
        <w:rPr>
          <w:rFonts w:hint="eastAsia"/>
          <w:color w:val="4472C4" w:themeColor="accent1"/>
          <w14:textFill>
            <w14:solidFill>
              <w14:schemeClr w14:val="accent1"/>
            </w14:solidFill>
          </w14:textFill>
        </w:rPr>
        <w:t>一、对人才培养的影响</w:t>
      </w:r>
      <w:bookmarkEnd w:id="207"/>
      <w:bookmarkEnd w:id="208"/>
    </w:p>
    <w:p>
      <w:pPr>
        <w:pStyle w:val="152"/>
        <w:rPr>
          <w:color w:val="4472C4" w:themeColor="accent1"/>
          <w14:textFill>
            <w14:solidFill>
              <w14:schemeClr w14:val="accent1"/>
            </w14:solidFill>
          </w14:textFill>
        </w:rPr>
      </w:pPr>
      <w:bookmarkStart w:id="209" w:name="_Toc487789931"/>
      <w:bookmarkStart w:id="210" w:name="_Toc487790112"/>
      <w:bookmarkStart w:id="211" w:name="_Toc525725635"/>
      <w:bookmarkStart w:id="212" w:name="_Toc520328947"/>
      <w:bookmarkStart w:id="213" w:name="_Toc27601845"/>
      <w:r>
        <w:rPr>
          <w:rFonts w:hint="eastAsia"/>
          <w:color w:val="4472C4" w:themeColor="accent1"/>
          <w14:textFill>
            <w14:solidFill>
              <w14:schemeClr w14:val="accent1"/>
            </w14:solidFill>
          </w14:textFill>
        </w:rPr>
        <w:t>（一）</w:t>
      </w:r>
      <w:bookmarkEnd w:id="209"/>
      <w:bookmarkEnd w:id="210"/>
      <w:r>
        <w:rPr>
          <w:rFonts w:hint="eastAsia"/>
          <w:color w:val="4472C4" w:themeColor="accent1"/>
          <w14:textFill>
            <w14:solidFill>
              <w14:schemeClr w14:val="accent1"/>
            </w14:solidFill>
          </w14:textFill>
        </w:rPr>
        <w:t>对人才培养的评价</w:t>
      </w:r>
      <w:bookmarkEnd w:id="211"/>
      <w:bookmarkEnd w:id="212"/>
      <w:bookmarkEnd w:id="213"/>
    </w:p>
    <w:p>
      <w:pPr>
        <w:pStyle w:val="144"/>
        <w:spacing w:before="156" w:beforeLines="50" w:after="156" w:afterLines="50"/>
        <w:ind w:firstLine="482"/>
        <w:rPr>
          <w:rFonts w:eastAsia="宋体"/>
          <w:b/>
          <w:color w:val="4472C4" w:themeColor="accent1"/>
          <w14:textFill>
            <w14:solidFill>
              <w14:schemeClr w14:val="accent1"/>
            </w14:solidFill>
          </w14:textFill>
        </w:rPr>
      </w:pPr>
      <w:r>
        <w:rPr>
          <w:rFonts w:hint="eastAsia" w:eastAsia="宋体"/>
          <w:b/>
          <w:color w:val="4472C4" w:themeColor="accent1"/>
          <w14:textFill>
            <w14:solidFill>
              <w14:schemeClr w14:val="accent1"/>
            </w14:solidFill>
          </w14:textFill>
        </w:rPr>
        <w:t>1</w:t>
      </w:r>
      <w:r>
        <w:rPr>
          <w:rFonts w:eastAsia="宋体"/>
          <w:b/>
          <w:color w:val="4472C4" w:themeColor="accent1"/>
          <w14:textFill>
            <w14:solidFill>
              <w14:schemeClr w14:val="accent1"/>
            </w14:solidFill>
          </w14:textFill>
        </w:rPr>
        <w:t>.</w:t>
      </w:r>
      <w:r>
        <w:rPr>
          <w:rFonts w:hint="eastAsia" w:eastAsia="宋体"/>
          <w:b/>
          <w:color w:val="4472C4" w:themeColor="accent1"/>
          <w14:textFill>
            <w14:solidFill>
              <w14:schemeClr w14:val="accent1"/>
            </w14:solidFill>
          </w14:textFill>
        </w:rPr>
        <w:t>母校满意度</w:t>
      </w:r>
    </w:p>
    <w:p>
      <w:pPr>
        <w:pStyle w:val="199"/>
        <w:spacing w:before="156" w:beforeLines="50" w:after="156" w:afterLines="50"/>
        <w:ind w:firstLine="480"/>
      </w:pPr>
      <w:r>
        <w:t>2019届</w:t>
      </w:r>
      <w:r>
        <w:rPr>
          <w:rFonts w:hint="eastAsia"/>
        </w:rPr>
        <w:t>毕业生对母校的满意度为</w:t>
      </w:r>
      <w:r>
        <w:t>98.71%</w:t>
      </w:r>
      <w:r>
        <w:rPr>
          <w:rFonts w:hint="eastAsia"/>
        </w:rPr>
        <w:t>，总体</w:t>
      </w:r>
      <w:r>
        <w:t>满意度较高</w:t>
      </w:r>
      <w:r>
        <w:rPr>
          <w:rFonts w:hint="eastAsia"/>
        </w:rPr>
        <w:t>。其中，选择“很满意”占比为</w:t>
      </w:r>
      <w:r>
        <w:t>25.28%</w:t>
      </w:r>
      <w:r>
        <w:rPr>
          <w:rFonts w:hint="eastAsia"/>
        </w:rPr>
        <w:t>，“比较满意”占比为</w:t>
      </w:r>
      <w:r>
        <w:t>57.67%</w:t>
      </w:r>
      <w:r>
        <w:rPr>
          <w:rFonts w:hint="eastAsia"/>
        </w:rPr>
        <w:t>，</w:t>
      </w:r>
      <w:r>
        <w:t>可见</w:t>
      </w:r>
      <w:r>
        <w:rPr>
          <w:rFonts w:hint="eastAsia"/>
        </w:rPr>
        <w:t>2019届</w:t>
      </w:r>
      <w:r>
        <w:t>毕业生对在母校所学知识及能力水平的满足工作需求的程度、校风学风等方面均比较认同。</w:t>
      </w:r>
    </w:p>
    <w:p>
      <w:pPr>
        <w:jc w:val="center"/>
        <w:rPr>
          <w:rFonts w:ascii="宋体" w:hAnsi="宋体"/>
        </w:rPr>
      </w:pPr>
      <w:r>
        <w:rPr>
          <w:rFonts w:ascii="宋体" w:hAnsi="宋体"/>
        </w:rPr>
        <w:drawing>
          <wp:inline distT="0" distB="0" distL="0" distR="0">
            <wp:extent cx="5399405" cy="1439545"/>
            <wp:effectExtent l="0" t="0" r="0" b="8255"/>
            <wp:docPr id="963"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pPr>
        <w:pStyle w:val="203"/>
        <w:spacing w:before="0" w:beforeLines="0" w:after="0" w:afterLines="0"/>
      </w:pPr>
      <w:bookmarkStart w:id="214" w:name="_Toc16673955"/>
      <w:bookmarkStart w:id="215" w:name="_Toc27002323"/>
      <w:r>
        <w:rPr>
          <w:rFonts w:hint="eastAsia"/>
        </w:rPr>
        <w:t xml:space="preserve">图5- </w:t>
      </w:r>
      <w:r>
        <w:fldChar w:fldCharType="begin"/>
      </w:r>
      <w:r>
        <w:instrText xml:space="preserve"> </w:instrText>
      </w:r>
      <w:r>
        <w:rPr>
          <w:rFonts w:hint="eastAsia"/>
        </w:rPr>
        <w:instrText xml:space="preserve">SEQ 图5- \* ARABIC</w:instrText>
      </w:r>
      <w:r>
        <w:instrText xml:space="preserve"> </w:instrText>
      </w:r>
      <w:r>
        <w:fldChar w:fldCharType="separate"/>
      </w:r>
      <w:r>
        <w:t>1</w:t>
      </w:r>
      <w:r>
        <w:fldChar w:fldCharType="end"/>
      </w:r>
      <w:r>
        <w:t xml:space="preserve">  2019届</w:t>
      </w:r>
      <w:r>
        <w:rPr>
          <w:rFonts w:hint="eastAsia"/>
        </w:rPr>
        <w:t>毕业生对母校的</w:t>
      </w:r>
      <w:r>
        <w:t>满意度</w:t>
      </w:r>
      <w:bookmarkEnd w:id="214"/>
      <w:bookmarkEnd w:id="215"/>
    </w:p>
    <w:p>
      <w:pPr>
        <w:pStyle w:val="119"/>
        <w:ind w:firstLine="360"/>
        <w:rPr>
          <w:color w:val="4472C4" w:themeColor="accent1"/>
          <w14:textFill>
            <w14:solidFill>
              <w14:schemeClr w14:val="accent1"/>
            </w14:solidFill>
          </w14:textFill>
        </w:rPr>
      </w:pPr>
      <w:r>
        <w:rPr>
          <w:rFonts w:hint="eastAsia"/>
          <w:color w:val="4472C4" w:themeColor="accent1"/>
          <w14:textFill>
            <w14:solidFill>
              <w14:schemeClr w14:val="accent1"/>
            </w14:solidFill>
          </w14:textFill>
        </w:rPr>
        <w:t>注：满意度评价维度包括“很满意”、“比较满意”、“一般”、“比较不满意”、“很不满意”和“无法评价”，满意度为选择“很满意”、“比较满意”和“一般”的人数占“此题总人数—无法评价人数”的比例。</w:t>
      </w:r>
    </w:p>
    <w:p>
      <w:pPr>
        <w:pStyle w:val="119"/>
        <w:ind w:firstLine="360"/>
        <w:rPr>
          <w:color w:val="4472C4" w:themeColor="accent1"/>
          <w14:textFill>
            <w14:solidFill>
              <w14:schemeClr w14:val="accent1"/>
            </w14:solidFill>
          </w14:textFill>
        </w:rPr>
      </w:pPr>
      <w:r>
        <w:rPr>
          <w:rFonts w:hint="eastAsia"/>
          <w:color w:val="4472C4" w:themeColor="accent1"/>
          <w14:textFill>
            <w14:solidFill>
              <w14:schemeClr w14:val="accent1"/>
            </w14:solidFill>
          </w14:textFill>
        </w:rPr>
        <w:t>数据来源：第三方机构新锦成</w:t>
      </w:r>
      <w:r>
        <w:rPr>
          <w:color w:val="4472C4" w:themeColor="accent1"/>
          <w14:textFill>
            <w14:solidFill>
              <w14:schemeClr w14:val="accent1"/>
            </w14:solidFill>
          </w14:textFill>
        </w:rPr>
        <w:t>-2019届</w:t>
      </w:r>
      <w:r>
        <w:rPr>
          <w:rFonts w:hint="eastAsia"/>
          <w:color w:val="4472C4" w:themeColor="accent1"/>
          <w14:textFill>
            <w14:solidFill>
              <w14:schemeClr w14:val="accent1"/>
            </w14:solidFill>
          </w14:textFill>
        </w:rPr>
        <w:t>毕业生就业与培养质量调查。</w:t>
      </w:r>
    </w:p>
    <w:p>
      <w:pPr>
        <w:pStyle w:val="144"/>
        <w:spacing w:before="156" w:beforeLines="50" w:after="156" w:afterLines="50"/>
        <w:ind w:firstLine="482"/>
        <w:rPr>
          <w:rFonts w:eastAsia="宋体"/>
          <w:b/>
          <w:color w:val="4472C4" w:themeColor="accent1"/>
          <w14:textFill>
            <w14:solidFill>
              <w14:schemeClr w14:val="accent1"/>
            </w14:solidFill>
          </w14:textFill>
        </w:rPr>
      </w:pPr>
      <w:r>
        <w:rPr>
          <w:rFonts w:hint="eastAsia" w:eastAsia="宋体"/>
          <w:b/>
          <w:color w:val="4472C4" w:themeColor="accent1"/>
          <w14:textFill>
            <w14:solidFill>
              <w14:schemeClr w14:val="accent1"/>
            </w14:solidFill>
          </w14:textFill>
        </w:rPr>
        <w:t>2</w:t>
      </w:r>
      <w:r>
        <w:rPr>
          <w:rFonts w:eastAsia="宋体"/>
          <w:b/>
          <w:color w:val="4472C4" w:themeColor="accent1"/>
          <w14:textFill>
            <w14:solidFill>
              <w14:schemeClr w14:val="accent1"/>
            </w14:solidFill>
          </w14:textFill>
        </w:rPr>
        <w:t>.母校推荐度</w:t>
      </w:r>
    </w:p>
    <w:p>
      <w:pPr>
        <w:pStyle w:val="199"/>
        <w:spacing w:before="156" w:beforeLines="50" w:after="156" w:afterLines="50"/>
        <w:ind w:firstLine="480"/>
      </w:pPr>
      <w:r>
        <w:t>2019届</w:t>
      </w:r>
      <w:r>
        <w:rPr>
          <w:rFonts w:hint="eastAsia"/>
        </w:rPr>
        <w:t>毕业生中，</w:t>
      </w:r>
      <w:bookmarkStart w:id="216" w:name="_Hlk24232937"/>
      <w:r>
        <w:t>68.75%</w:t>
      </w:r>
      <w:bookmarkEnd w:id="216"/>
      <w:r>
        <w:rPr>
          <w:rFonts w:hint="eastAsia"/>
        </w:rPr>
        <w:t>的毕业生愿意向他人推荐自己的母校，2</w:t>
      </w:r>
      <w:r>
        <w:t>5.81</w:t>
      </w:r>
      <w:r>
        <w:rPr>
          <w:rFonts w:hint="eastAsia"/>
        </w:rPr>
        <w:t>%的毕业生不确定是否向他人推荐母校；仅有</w:t>
      </w:r>
      <w:r>
        <w:t>5.44</w:t>
      </w:r>
      <w:r>
        <w:rPr>
          <w:rFonts w:hint="eastAsia"/>
        </w:rPr>
        <w:t>%的毕业生不愿意向他人推荐母校。</w:t>
      </w:r>
    </w:p>
    <w:p>
      <w:pPr>
        <w:jc w:val="center"/>
        <w:rPr>
          <w:rFonts w:ascii="宋体" w:hAnsi="宋体"/>
        </w:rPr>
      </w:pPr>
      <w:r>
        <w:rPr>
          <w:rFonts w:ascii="宋体" w:hAnsi="宋体"/>
        </w:rPr>
        <w:drawing>
          <wp:inline distT="0" distB="0" distL="0" distR="0">
            <wp:extent cx="5399405" cy="1439545"/>
            <wp:effectExtent l="0" t="0" r="0" b="8255"/>
            <wp:docPr id="964"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pPr>
        <w:pStyle w:val="203"/>
        <w:spacing w:before="0" w:beforeLines="0" w:after="0" w:afterLines="0"/>
      </w:pPr>
      <w:bookmarkStart w:id="217" w:name="_Toc16673956"/>
      <w:bookmarkStart w:id="218" w:name="_Toc27002324"/>
      <w:r>
        <w:rPr>
          <w:rFonts w:hint="eastAsia"/>
        </w:rPr>
        <w:t xml:space="preserve">图5- </w:t>
      </w:r>
      <w:r>
        <w:fldChar w:fldCharType="begin"/>
      </w:r>
      <w:r>
        <w:instrText xml:space="preserve"> </w:instrText>
      </w:r>
      <w:r>
        <w:rPr>
          <w:rFonts w:hint="eastAsia"/>
        </w:rPr>
        <w:instrText xml:space="preserve">SEQ 图5- \* ARABIC</w:instrText>
      </w:r>
      <w:r>
        <w:instrText xml:space="preserve"> </w:instrText>
      </w:r>
      <w:r>
        <w:fldChar w:fldCharType="separate"/>
      </w:r>
      <w:r>
        <w:t>2</w:t>
      </w:r>
      <w:r>
        <w:fldChar w:fldCharType="end"/>
      </w:r>
      <w:r>
        <w:t xml:space="preserve">  2019届</w:t>
      </w:r>
      <w:r>
        <w:rPr>
          <w:rFonts w:hint="eastAsia"/>
        </w:rPr>
        <w:t>毕业生对母校的</w:t>
      </w:r>
      <w:r>
        <w:t>推荐度</w:t>
      </w:r>
      <w:bookmarkEnd w:id="217"/>
      <w:bookmarkEnd w:id="218"/>
    </w:p>
    <w:p>
      <w:pPr>
        <w:pStyle w:val="119"/>
        <w:ind w:firstLine="360"/>
        <w:rPr>
          <w:color w:val="4472C4" w:themeColor="accent1"/>
          <w14:textFill>
            <w14:solidFill>
              <w14:schemeClr w14:val="accent1"/>
            </w14:solidFill>
          </w14:textFill>
        </w:rPr>
      </w:pPr>
      <w:r>
        <w:rPr>
          <w:rFonts w:hint="eastAsia"/>
          <w:color w:val="4472C4" w:themeColor="accent1"/>
          <w14:textFill>
            <w14:solidFill>
              <w14:schemeClr w14:val="accent1"/>
            </w14:solidFill>
          </w14:textFill>
        </w:rPr>
        <w:t>注：</w:t>
      </w:r>
      <w:r>
        <w:rPr>
          <w:color w:val="4472C4" w:themeColor="accent1"/>
          <w14:textFill>
            <w14:solidFill>
              <w14:schemeClr w14:val="accent1"/>
            </w14:solidFill>
          </w14:textFill>
        </w:rPr>
        <w:t>推荐度=</w:t>
      </w:r>
      <w:r>
        <w:rPr>
          <w:rFonts w:asciiTheme="minorEastAsia" w:hAnsiTheme="minorEastAsia" w:eastAsiaTheme="minorEastAsia"/>
          <w:color w:val="4472C4" w:themeColor="accent1"/>
          <w14:textFill>
            <w14:solidFill>
              <w14:schemeClr w14:val="accent1"/>
            </w14:solidFill>
          </w14:textFill>
        </w:rPr>
        <w:t>“</w:t>
      </w:r>
      <w:r>
        <w:rPr>
          <w:rFonts w:hint="eastAsia" w:asciiTheme="minorEastAsia" w:hAnsiTheme="minorEastAsia" w:eastAsiaTheme="minorEastAsia"/>
          <w:color w:val="4472C4" w:themeColor="accent1"/>
          <w14:textFill>
            <w14:solidFill>
              <w14:schemeClr w14:val="accent1"/>
            </w14:solidFill>
          </w14:textFill>
        </w:rPr>
        <w:t>愿意</w:t>
      </w:r>
      <w:r>
        <w:rPr>
          <w:rFonts w:asciiTheme="minorEastAsia" w:hAnsiTheme="minorEastAsia" w:eastAsiaTheme="minorEastAsia"/>
          <w:color w:val="4472C4" w:themeColor="accent1"/>
          <w14:textFill>
            <w14:solidFill>
              <w14:schemeClr w14:val="accent1"/>
            </w14:solidFill>
          </w14:textFill>
        </w:rPr>
        <w:t>”</w:t>
      </w:r>
      <w:r>
        <w:rPr>
          <w:rFonts w:hint="eastAsia"/>
          <w:color w:val="4472C4" w:themeColor="accent1"/>
          <w14:textFill>
            <w14:solidFill>
              <w14:schemeClr w14:val="accent1"/>
            </w14:solidFill>
          </w14:textFill>
        </w:rPr>
        <w:t>占比。</w:t>
      </w:r>
    </w:p>
    <w:p>
      <w:pPr>
        <w:pStyle w:val="119"/>
        <w:ind w:firstLine="360"/>
        <w:rPr>
          <w:color w:val="4472C4" w:themeColor="accent1"/>
          <w14:textFill>
            <w14:solidFill>
              <w14:schemeClr w14:val="accent1"/>
            </w14:solidFill>
          </w14:textFill>
        </w:rPr>
      </w:pPr>
      <w:r>
        <w:rPr>
          <w:rFonts w:hint="eastAsia"/>
          <w:color w:val="4472C4" w:themeColor="accent1"/>
          <w14:textFill>
            <w14:solidFill>
              <w14:schemeClr w14:val="accent1"/>
            </w14:solidFill>
          </w14:textFill>
        </w:rPr>
        <w:t>数据来源：第三方机构新锦成</w:t>
      </w:r>
      <w:r>
        <w:rPr>
          <w:color w:val="4472C4" w:themeColor="accent1"/>
          <w14:textFill>
            <w14:solidFill>
              <w14:schemeClr w14:val="accent1"/>
            </w14:solidFill>
          </w14:textFill>
        </w:rPr>
        <w:t>-2019届</w:t>
      </w:r>
      <w:r>
        <w:rPr>
          <w:rFonts w:hint="eastAsia"/>
          <w:color w:val="4472C4" w:themeColor="accent1"/>
          <w14:textFill>
            <w14:solidFill>
              <w14:schemeClr w14:val="accent1"/>
            </w14:solidFill>
          </w14:textFill>
        </w:rPr>
        <w:t>毕业生就业与培养质量调查。</w:t>
      </w:r>
    </w:p>
    <w:p>
      <w:pPr>
        <w:pStyle w:val="144"/>
        <w:spacing w:before="156" w:beforeLines="50" w:after="156" w:afterLines="50"/>
        <w:ind w:firstLine="482"/>
        <w:rPr>
          <w:rFonts w:eastAsia="宋体"/>
          <w:b/>
          <w:color w:val="4472C4" w:themeColor="accent1"/>
          <w14:textFill>
            <w14:solidFill>
              <w14:schemeClr w14:val="accent1"/>
            </w14:solidFill>
          </w14:textFill>
        </w:rPr>
      </w:pPr>
      <w:r>
        <w:rPr>
          <w:rFonts w:hint="eastAsia" w:eastAsia="宋体"/>
          <w:b/>
          <w:color w:val="4472C4" w:themeColor="accent1"/>
          <w14:textFill>
            <w14:solidFill>
              <w14:schemeClr w14:val="accent1"/>
            </w14:solidFill>
          </w14:textFill>
        </w:rPr>
        <w:t>3</w:t>
      </w:r>
      <w:r>
        <w:rPr>
          <w:rFonts w:eastAsia="宋体"/>
          <w:b/>
          <w:color w:val="4472C4" w:themeColor="accent1"/>
          <w14:textFill>
            <w14:solidFill>
              <w14:schemeClr w14:val="accent1"/>
            </w14:solidFill>
          </w14:textFill>
        </w:rPr>
        <w:t>.</w:t>
      </w:r>
      <w:r>
        <w:rPr>
          <w:rFonts w:hint="eastAsia" w:eastAsia="宋体"/>
          <w:b/>
          <w:color w:val="4472C4" w:themeColor="accent1"/>
          <w14:textFill>
            <w14:solidFill>
              <w14:schemeClr w14:val="accent1"/>
            </w14:solidFill>
          </w14:textFill>
        </w:rPr>
        <w:t>对课堂教学的评价</w:t>
      </w:r>
    </w:p>
    <w:p>
      <w:pPr>
        <w:pStyle w:val="136"/>
        <w:spacing w:before="156" w:beforeLines="50" w:after="156" w:afterLines="50"/>
        <w:ind w:firstLine="480"/>
      </w:pPr>
      <w:r>
        <w:rPr>
          <w:rFonts w:hint="eastAsia" w:ascii="宋体" w:hAnsi="宋体" w:cs="Times New Roman"/>
        </w:rPr>
        <w:t>课堂教学是培养专业人才的基本环节，是高校教学中的一个重要组成部分。</w:t>
      </w:r>
      <w:r>
        <w:rPr>
          <w:rFonts w:hint="eastAsia"/>
        </w:rPr>
        <w:t>从整体均值来看，</w:t>
      </w:r>
      <w:r>
        <w:rPr>
          <w:rFonts w:hint="eastAsia"/>
          <w:color w:val="auto"/>
        </w:rPr>
        <w:t>2</w:t>
      </w:r>
      <w:r>
        <w:rPr>
          <w:color w:val="auto"/>
        </w:rPr>
        <w:t>019</w:t>
      </w:r>
      <w:r>
        <w:rPr>
          <w:rFonts w:hint="eastAsia"/>
          <w:color w:val="auto"/>
        </w:rPr>
        <w:t>届毕业生对学校课堂教学总评价的均值为</w:t>
      </w:r>
      <w:bookmarkStart w:id="219" w:name="_Hlk24232958"/>
      <w:r>
        <w:rPr>
          <w:color w:val="auto"/>
        </w:rPr>
        <w:t>3.71</w:t>
      </w:r>
      <w:r>
        <w:rPr>
          <w:rFonts w:hint="eastAsia"/>
          <w:color w:val="auto"/>
        </w:rPr>
        <w:t>分</w:t>
      </w:r>
      <w:bookmarkEnd w:id="219"/>
      <w:r>
        <w:rPr>
          <w:rFonts w:hint="eastAsia"/>
          <w:color w:val="auto"/>
        </w:rPr>
        <w:t>，各方面评价的均值在3</w:t>
      </w:r>
      <w:r>
        <w:rPr>
          <w:color w:val="auto"/>
        </w:rPr>
        <w:t>.57-3.83</w:t>
      </w:r>
      <w:r>
        <w:rPr>
          <w:rFonts w:hint="eastAsia"/>
          <w:color w:val="auto"/>
        </w:rPr>
        <w:t>分之间，偏向“比较满意”水平及</w:t>
      </w:r>
      <w:r>
        <w:rPr>
          <w:color w:val="auto"/>
        </w:rPr>
        <w:t>以上</w:t>
      </w:r>
      <w:r>
        <w:rPr>
          <w:rFonts w:hint="eastAsia"/>
          <w:color w:val="auto"/>
        </w:rPr>
        <w:t>；其中，毕业生对课堂教学过程中的“课程目标”和“课堂纪律”评价最高，“教学效果”次之。</w:t>
      </w:r>
      <w:r>
        <w:rPr>
          <w:rFonts w:hint="eastAsia"/>
        </w:rPr>
        <w:t>体现</w:t>
      </w:r>
      <w:r>
        <w:t>了</w:t>
      </w:r>
      <w:r>
        <w:rPr>
          <w:rFonts w:hint="eastAsia"/>
        </w:rPr>
        <w:t>学校多元化人才培养机制的合理性及科学性，为毕业生更好地就业奠定了坚实的基础。</w:t>
      </w:r>
    </w:p>
    <w:p>
      <w:pPr>
        <w:jc w:val="center"/>
        <w:rPr>
          <w:rFonts w:ascii="宋体" w:hAnsi="宋体"/>
        </w:rPr>
      </w:pPr>
      <w:r>
        <w:rPr>
          <w:rFonts w:ascii="宋体" w:hAnsi="宋体"/>
        </w:rPr>
        <w:drawing>
          <wp:inline distT="0" distB="0" distL="0" distR="0">
            <wp:extent cx="5399405" cy="1439545"/>
            <wp:effectExtent l="0" t="0" r="0" b="8255"/>
            <wp:docPr id="81"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pPr>
        <w:pStyle w:val="203"/>
        <w:spacing w:before="0" w:beforeLines="0" w:after="0" w:afterLines="0"/>
      </w:pPr>
      <w:bookmarkStart w:id="220" w:name="_Toc525725849"/>
      <w:bookmarkStart w:id="221" w:name="_Toc27002325"/>
      <w:r>
        <w:rPr>
          <w:rFonts w:hint="eastAsia"/>
        </w:rPr>
        <w:t xml:space="preserve">图5- </w:t>
      </w:r>
      <w:r>
        <w:fldChar w:fldCharType="begin"/>
      </w:r>
      <w:r>
        <w:instrText xml:space="preserve"> </w:instrText>
      </w:r>
      <w:r>
        <w:rPr>
          <w:rFonts w:hint="eastAsia"/>
        </w:rPr>
        <w:instrText xml:space="preserve">SEQ 图5- \* ARABIC</w:instrText>
      </w:r>
      <w:r>
        <w:instrText xml:space="preserve"> </w:instrText>
      </w:r>
      <w:r>
        <w:fldChar w:fldCharType="separate"/>
      </w:r>
      <w:r>
        <w:t>3</w:t>
      </w:r>
      <w:r>
        <w:fldChar w:fldCharType="end"/>
      </w:r>
      <w:r>
        <w:t xml:space="preserve">  2019届</w:t>
      </w:r>
      <w:r>
        <w:rPr>
          <w:rFonts w:hint="eastAsia"/>
        </w:rPr>
        <w:t>毕业生对课堂教学各方面内容的评价</w:t>
      </w:r>
      <w:bookmarkEnd w:id="220"/>
      <w:bookmarkEnd w:id="221"/>
    </w:p>
    <w:p>
      <w:pPr>
        <w:pStyle w:val="119"/>
        <w:ind w:firstLine="360"/>
        <w:rPr>
          <w:color w:val="4472C4" w:themeColor="accent1"/>
          <w14:textFill>
            <w14:solidFill>
              <w14:schemeClr w14:val="accent1"/>
            </w14:solidFill>
          </w14:textFill>
        </w:rPr>
      </w:pPr>
      <w:r>
        <w:rPr>
          <w:rFonts w:hint="eastAsia"/>
          <w:color w:val="4472C4" w:themeColor="accent1"/>
          <w14:textFill>
            <w14:solidFill>
              <w14:schemeClr w14:val="accent1"/>
            </w14:solidFill>
          </w14:textFill>
        </w:rPr>
        <w:t>注：1</w:t>
      </w:r>
      <w:r>
        <w:rPr>
          <w:color w:val="4472C4" w:themeColor="accent1"/>
          <w14:textFill>
            <w14:solidFill>
              <w14:schemeClr w14:val="accent1"/>
            </w14:solidFill>
          </w14:textFill>
        </w:rPr>
        <w:t>.</w:t>
      </w:r>
      <w:r>
        <w:rPr>
          <w:rFonts w:hint="eastAsia"/>
          <w:color w:val="4472C4" w:themeColor="accent1"/>
          <w14:textFill>
            <w14:solidFill>
              <w14:schemeClr w14:val="accent1"/>
            </w14:solidFill>
          </w14:textFill>
        </w:rPr>
        <w:t>毕业生对课程教学的评价，其评价</w:t>
      </w:r>
      <w:r>
        <w:rPr>
          <w:color w:val="4472C4" w:themeColor="accent1"/>
          <w14:textFill>
            <w14:solidFill>
              <w14:schemeClr w14:val="accent1"/>
            </w14:solidFill>
          </w14:textFill>
        </w:rPr>
        <w:t>维度</w:t>
      </w:r>
      <w:r>
        <w:rPr>
          <w:rFonts w:hint="eastAsia"/>
          <w:color w:val="4472C4" w:themeColor="accent1"/>
          <w14:textFill>
            <w14:solidFill>
              <w14:schemeClr w14:val="accent1"/>
            </w14:solidFill>
          </w14:textFill>
        </w:rPr>
        <w:t>包括“非常符合”、“比较符合”、“一般”、“比较不符合”、“非常不符合”和“无法评价”。该指标除去“无法评价”的人数，并对毕业生的反馈赋予1-5分（“非常</w:t>
      </w:r>
      <w:r>
        <w:rPr>
          <w:color w:val="4472C4" w:themeColor="accent1"/>
          <w14:textFill>
            <w14:solidFill>
              <w14:schemeClr w14:val="accent1"/>
            </w14:solidFill>
          </w14:textFill>
        </w:rPr>
        <w:t>不</w:t>
      </w:r>
      <w:r>
        <w:rPr>
          <w:rFonts w:hint="eastAsia"/>
          <w:color w:val="4472C4" w:themeColor="accent1"/>
          <w14:textFill>
            <w14:solidFill>
              <w14:schemeClr w14:val="accent1"/>
            </w14:solidFill>
          </w14:textFill>
        </w:rPr>
        <w:t>符合”</w:t>
      </w:r>
      <w:r>
        <w:rPr>
          <w:color w:val="4472C4" w:themeColor="accent1"/>
          <w14:textFill>
            <w14:solidFill>
              <w14:schemeClr w14:val="accent1"/>
            </w14:solidFill>
          </w14:textFill>
        </w:rPr>
        <w:t>=1</w:t>
      </w:r>
      <w:r>
        <w:rPr>
          <w:rFonts w:hint="eastAsia"/>
          <w:color w:val="4472C4" w:themeColor="accent1"/>
          <w14:textFill>
            <w14:solidFill>
              <w14:schemeClr w14:val="accent1"/>
            </w14:solidFill>
          </w14:textFill>
        </w:rPr>
        <w:t>分，“非常符合”</w:t>
      </w:r>
      <w:r>
        <w:rPr>
          <w:color w:val="4472C4" w:themeColor="accent1"/>
          <w14:textFill>
            <w14:solidFill>
              <w14:schemeClr w14:val="accent1"/>
            </w14:solidFill>
          </w14:textFill>
        </w:rPr>
        <w:t>=5</w:t>
      </w:r>
      <w:r>
        <w:rPr>
          <w:rFonts w:hint="eastAsia"/>
          <w:color w:val="4472C4" w:themeColor="accent1"/>
          <w14:textFill>
            <w14:solidFill>
              <w14:schemeClr w14:val="accent1"/>
            </w14:solidFill>
          </w14:textFill>
        </w:rPr>
        <w:t>分</w:t>
      </w:r>
      <w:r>
        <w:rPr>
          <w:color w:val="4472C4" w:themeColor="accent1"/>
          <w14:textFill>
            <w14:solidFill>
              <w14:schemeClr w14:val="accent1"/>
            </w14:solidFill>
          </w14:textFill>
        </w:rPr>
        <w:t>）</w:t>
      </w:r>
      <w:r>
        <w:rPr>
          <w:rFonts w:hint="eastAsia"/>
          <w:color w:val="4472C4" w:themeColor="accent1"/>
          <w14:textFill>
            <w14:solidFill>
              <w14:schemeClr w14:val="accent1"/>
            </w14:solidFill>
          </w14:textFill>
        </w:rPr>
        <w:t>，计算其均值。该均值越高，毕业生反映越符合，表示毕业生对课堂教学越满意。</w:t>
      </w:r>
    </w:p>
    <w:p>
      <w:pPr>
        <w:pStyle w:val="119"/>
        <w:ind w:firstLine="720" w:firstLineChars="400"/>
        <w:rPr>
          <w:color w:val="4472C4" w:themeColor="accent1"/>
          <w14:textFill>
            <w14:solidFill>
              <w14:schemeClr w14:val="accent1"/>
            </w14:solidFill>
          </w14:textFill>
        </w:rPr>
      </w:pPr>
      <w:r>
        <w:rPr>
          <w:color w:val="4472C4" w:themeColor="accent1"/>
          <w14:textFill>
            <w14:solidFill>
              <w14:schemeClr w14:val="accent1"/>
            </w14:solidFill>
          </w14:textFill>
        </w:rPr>
        <w:t>2.</w:t>
      </w:r>
      <w:r>
        <w:rPr>
          <w:rFonts w:hint="eastAsia"/>
          <w:color w:val="4472C4" w:themeColor="accent1"/>
          <w14:textFill>
            <w14:solidFill>
              <w14:schemeClr w14:val="accent1"/>
            </w14:solidFill>
          </w14:textFill>
        </w:rPr>
        <w:t>课堂教学总评价=（课程目标+课程纪律+师生互动+反馈指导+教学效果）/5。</w:t>
      </w:r>
    </w:p>
    <w:p>
      <w:pPr>
        <w:pStyle w:val="119"/>
        <w:ind w:firstLine="360"/>
        <w:rPr>
          <w:color w:val="4472C4" w:themeColor="accent1"/>
          <w14:textFill>
            <w14:solidFill>
              <w14:schemeClr w14:val="accent1"/>
            </w14:solidFill>
          </w14:textFill>
        </w:rPr>
      </w:pPr>
      <w:r>
        <w:rPr>
          <w:rFonts w:hint="eastAsia"/>
          <w:color w:val="4472C4" w:themeColor="accent1"/>
          <w14:textFill>
            <w14:solidFill>
              <w14:schemeClr w14:val="accent1"/>
            </w14:solidFill>
          </w14:textFill>
        </w:rPr>
        <w:t>数据来源：第三方机构新锦成</w:t>
      </w:r>
      <w:r>
        <w:rPr>
          <w:color w:val="4472C4" w:themeColor="accent1"/>
          <w14:textFill>
            <w14:solidFill>
              <w14:schemeClr w14:val="accent1"/>
            </w14:solidFill>
          </w14:textFill>
        </w:rPr>
        <w:t>-2019</w:t>
      </w:r>
      <w:r>
        <w:rPr>
          <w:rFonts w:hint="eastAsia"/>
          <w:color w:val="4472C4" w:themeColor="accent1"/>
          <w14:textFill>
            <w14:solidFill>
              <w14:schemeClr w14:val="accent1"/>
            </w14:solidFill>
          </w14:textFill>
        </w:rPr>
        <w:t>届毕业生就业与培养质量调查。</w:t>
      </w:r>
    </w:p>
    <w:p>
      <w:pPr>
        <w:pStyle w:val="119"/>
        <w:ind w:firstLine="289" w:firstLineChars="161"/>
        <w:rPr>
          <w:color w:val="4472C4" w:themeColor="accent1"/>
          <w14:textFill>
            <w14:solidFill>
              <w14:schemeClr w14:val="accent1"/>
            </w14:solidFill>
          </w14:textFill>
        </w:rPr>
      </w:pPr>
    </w:p>
    <w:p>
      <w:pPr>
        <w:pStyle w:val="119"/>
        <w:ind w:firstLine="289" w:firstLineChars="161"/>
        <w:rPr>
          <w:color w:val="4472C4" w:themeColor="accent1"/>
          <w14:textFill>
            <w14:solidFill>
              <w14:schemeClr w14:val="accent1"/>
            </w14:solidFill>
          </w14:textFill>
        </w:rPr>
      </w:pPr>
    </w:p>
    <w:p>
      <w:pPr>
        <w:pStyle w:val="119"/>
        <w:ind w:firstLine="289" w:firstLineChars="161"/>
        <w:rPr>
          <w:color w:val="4472C4" w:themeColor="accent1"/>
          <w14:textFill>
            <w14:solidFill>
              <w14:schemeClr w14:val="accent1"/>
            </w14:solidFill>
          </w14:textFill>
        </w:rPr>
      </w:pPr>
    </w:p>
    <w:p>
      <w:pPr>
        <w:pStyle w:val="119"/>
        <w:ind w:firstLine="289" w:firstLineChars="161"/>
        <w:rPr>
          <w:color w:val="4472C4" w:themeColor="accent1"/>
          <w14:textFill>
            <w14:solidFill>
              <w14:schemeClr w14:val="accent1"/>
            </w14:solidFill>
          </w14:textFill>
        </w:rPr>
      </w:pPr>
    </w:p>
    <w:p>
      <w:pPr>
        <w:pStyle w:val="144"/>
        <w:spacing w:before="156" w:beforeLines="50" w:after="156" w:afterLines="50"/>
        <w:ind w:firstLine="482"/>
        <w:rPr>
          <w:rFonts w:eastAsia="宋体"/>
          <w:b/>
          <w:color w:val="4472C4" w:themeColor="accent1"/>
          <w14:textFill>
            <w14:solidFill>
              <w14:schemeClr w14:val="accent1"/>
            </w14:solidFill>
          </w14:textFill>
        </w:rPr>
      </w:pPr>
      <w:r>
        <w:rPr>
          <w:rFonts w:eastAsia="宋体"/>
          <w:b/>
          <w:color w:val="4472C4" w:themeColor="accent1"/>
          <w14:textFill>
            <w14:solidFill>
              <w14:schemeClr w14:val="accent1"/>
            </w14:solidFill>
          </w14:textFill>
        </w:rPr>
        <w:t>4.</w:t>
      </w:r>
      <w:r>
        <w:rPr>
          <w:rFonts w:hint="eastAsia" w:eastAsia="宋体"/>
          <w:b/>
          <w:color w:val="4472C4" w:themeColor="accent1"/>
          <w14:textFill>
            <w14:solidFill>
              <w14:schemeClr w14:val="accent1"/>
            </w14:solidFill>
          </w14:textFill>
        </w:rPr>
        <w:t>对实践教学的评价</w:t>
      </w:r>
    </w:p>
    <w:p>
      <w:pPr>
        <w:pStyle w:val="136"/>
        <w:spacing w:before="156" w:beforeLines="50" w:after="156" w:afterLines="50"/>
        <w:ind w:firstLine="480"/>
        <w:rPr>
          <w:rFonts w:ascii="宋体" w:hAnsi="宋体"/>
        </w:rPr>
      </w:pPr>
      <w:r>
        <w:rPr>
          <w:rFonts w:hint="eastAsia" w:ascii="宋体" w:hAnsi="宋体" w:cs="Times New Roman"/>
        </w:rPr>
        <w:t>实践教学是培养专业人才的基本环节，是高校教学中的一个重要组成部分，同时还是确保高校教学质量和毕业生与当前社会需求契合度的关键因素。</w:t>
      </w:r>
      <w:r>
        <w:rPr>
          <w:rFonts w:hint="eastAsia"/>
          <w:color w:val="auto"/>
        </w:rPr>
        <w:t>2</w:t>
      </w:r>
      <w:r>
        <w:rPr>
          <w:color w:val="auto"/>
        </w:rPr>
        <w:t>019</w:t>
      </w:r>
      <w:r>
        <w:rPr>
          <w:rFonts w:hint="eastAsia"/>
          <w:color w:val="auto"/>
        </w:rPr>
        <w:t>届毕业生对母校实践教学评价的综合评分为</w:t>
      </w:r>
      <w:bookmarkStart w:id="222" w:name="_Hlk24232987"/>
      <w:r>
        <w:rPr>
          <w:rFonts w:hint="eastAsia"/>
          <w:color w:val="auto"/>
        </w:rPr>
        <w:t>3</w:t>
      </w:r>
      <w:r>
        <w:rPr>
          <w:color w:val="auto"/>
        </w:rPr>
        <w:t>.60</w:t>
      </w:r>
      <w:bookmarkEnd w:id="222"/>
      <w:r>
        <w:rPr>
          <w:rFonts w:hint="eastAsia"/>
          <w:color w:val="auto"/>
        </w:rPr>
        <w:t>分，偏向“有些帮助”水平，各方面均值在</w:t>
      </w:r>
      <w:r>
        <w:rPr>
          <w:color w:val="auto"/>
        </w:rPr>
        <w:t>3.57-3.67</w:t>
      </w:r>
      <w:r>
        <w:rPr>
          <w:rFonts w:hint="eastAsia"/>
          <w:color w:val="auto"/>
        </w:rPr>
        <w:t>分之间。其中，毕业生认为“毕业论文（设计）”对其帮助度较高，“社会实践”次之。</w:t>
      </w:r>
      <w:r>
        <w:rPr>
          <w:rFonts w:ascii="宋体" w:hAnsi="宋体"/>
        </w:rPr>
        <w:t>可见</w:t>
      </w:r>
      <w:r>
        <w:rPr>
          <w:rFonts w:hint="eastAsia" w:ascii="宋体" w:hAnsi="宋体"/>
        </w:rPr>
        <w:t>学校实践</w:t>
      </w:r>
      <w:r>
        <w:rPr>
          <w:rFonts w:ascii="宋体" w:hAnsi="宋体"/>
        </w:rPr>
        <w:t>教学</w:t>
      </w:r>
      <w:r>
        <w:rPr>
          <w:rFonts w:hint="eastAsia" w:ascii="宋体" w:hAnsi="宋体"/>
        </w:rPr>
        <w:t>各</w:t>
      </w:r>
      <w:r>
        <w:rPr>
          <w:rFonts w:ascii="宋体" w:hAnsi="宋体"/>
        </w:rPr>
        <w:t>方面</w:t>
      </w:r>
      <w:r>
        <w:rPr>
          <w:rFonts w:hint="eastAsia" w:ascii="宋体" w:hAnsi="宋体"/>
        </w:rPr>
        <w:t>均得到了</w:t>
      </w:r>
      <w:r>
        <w:rPr>
          <w:rFonts w:ascii="宋体" w:hAnsi="宋体"/>
        </w:rPr>
        <w:t>毕业生的</w:t>
      </w:r>
      <w:r>
        <w:rPr>
          <w:rFonts w:hint="eastAsia" w:ascii="宋体" w:hAnsi="宋体"/>
        </w:rPr>
        <w:t>广泛</w:t>
      </w:r>
      <w:r>
        <w:rPr>
          <w:rFonts w:ascii="宋体" w:hAnsi="宋体"/>
        </w:rPr>
        <w:t>认可</w:t>
      </w:r>
      <w:r>
        <w:rPr>
          <w:rFonts w:hint="eastAsia" w:ascii="宋体" w:hAnsi="宋体"/>
        </w:rPr>
        <w:t>。</w:t>
      </w:r>
    </w:p>
    <w:p>
      <w:pPr>
        <w:jc w:val="center"/>
        <w:rPr>
          <w:rFonts w:ascii="宋体" w:hAnsi="宋体"/>
        </w:rPr>
      </w:pPr>
      <w:r>
        <w:rPr>
          <w:rFonts w:ascii="宋体" w:hAnsi="宋体"/>
        </w:rPr>
        <w:drawing>
          <wp:inline distT="0" distB="0" distL="0" distR="0">
            <wp:extent cx="5399405" cy="1439545"/>
            <wp:effectExtent l="0" t="0" r="0" b="8255"/>
            <wp:docPr id="36"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pPr>
        <w:pStyle w:val="203"/>
        <w:spacing w:before="0" w:beforeLines="0" w:after="0" w:afterLines="0"/>
      </w:pPr>
      <w:bookmarkStart w:id="223" w:name="_Toc525725850"/>
      <w:bookmarkStart w:id="224" w:name="_Toc27002326"/>
      <w:r>
        <w:rPr>
          <w:rFonts w:hint="eastAsia"/>
        </w:rPr>
        <w:t xml:space="preserve">图5- </w:t>
      </w:r>
      <w:r>
        <w:fldChar w:fldCharType="begin"/>
      </w:r>
      <w:r>
        <w:instrText xml:space="preserve"> </w:instrText>
      </w:r>
      <w:r>
        <w:rPr>
          <w:rFonts w:hint="eastAsia"/>
        </w:rPr>
        <w:instrText xml:space="preserve">SEQ 图5- \* ARABIC</w:instrText>
      </w:r>
      <w:r>
        <w:instrText xml:space="preserve"> </w:instrText>
      </w:r>
      <w:r>
        <w:fldChar w:fldCharType="separate"/>
      </w:r>
      <w:r>
        <w:t>4</w:t>
      </w:r>
      <w:r>
        <w:fldChar w:fldCharType="end"/>
      </w:r>
      <w:r>
        <w:t xml:space="preserve">  2019届</w:t>
      </w:r>
      <w:r>
        <w:rPr>
          <w:rFonts w:hint="eastAsia"/>
        </w:rPr>
        <w:t>毕业生对实践教学各方面内容的评价</w:t>
      </w:r>
      <w:bookmarkEnd w:id="223"/>
      <w:bookmarkEnd w:id="224"/>
    </w:p>
    <w:p>
      <w:pPr>
        <w:pStyle w:val="119"/>
        <w:ind w:firstLine="360"/>
        <w:jc w:val="both"/>
        <w:rPr>
          <w:color w:val="4472C4" w:themeColor="accent1"/>
          <w:lang w:val="en-US"/>
          <w14:textFill>
            <w14:solidFill>
              <w14:schemeClr w14:val="accent1"/>
            </w14:solidFill>
          </w14:textFill>
        </w:rPr>
      </w:pPr>
      <w:r>
        <w:rPr>
          <w:rFonts w:hint="eastAsia"/>
          <w:color w:val="4472C4" w:themeColor="accent1"/>
          <w:lang w:val="en-US"/>
          <w14:textFill>
            <w14:solidFill>
              <w14:schemeClr w14:val="accent1"/>
            </w14:solidFill>
          </w14:textFill>
        </w:rPr>
        <w:t>注：1</w:t>
      </w:r>
      <w:r>
        <w:rPr>
          <w:color w:val="4472C4" w:themeColor="accent1"/>
          <w:lang w:val="en-US"/>
          <w14:textFill>
            <w14:solidFill>
              <w14:schemeClr w14:val="accent1"/>
            </w14:solidFill>
          </w14:textFill>
        </w:rPr>
        <w:t>.</w:t>
      </w:r>
      <w:r>
        <w:rPr>
          <w:color w:val="4472C4" w:themeColor="accent1"/>
          <w14:textFill>
            <w14:solidFill>
              <w14:schemeClr w14:val="accent1"/>
            </w14:solidFill>
          </w14:textFill>
        </w:rPr>
        <w:t>毕业生</w:t>
      </w:r>
      <w:r>
        <w:rPr>
          <w:rFonts w:hint="eastAsia"/>
          <w:color w:val="4472C4" w:themeColor="accent1"/>
          <w14:textFill>
            <w14:solidFill>
              <w14:schemeClr w14:val="accent1"/>
            </w14:solidFill>
          </w14:textFill>
        </w:rPr>
        <w:t>认为母校实践教学各环节的帮助情况，其评价</w:t>
      </w:r>
      <w:r>
        <w:rPr>
          <w:color w:val="4472C4" w:themeColor="accent1"/>
          <w14:textFill>
            <w14:solidFill>
              <w14:schemeClr w14:val="accent1"/>
            </w14:solidFill>
          </w14:textFill>
        </w:rPr>
        <w:t>维度</w:t>
      </w:r>
      <w:r>
        <w:rPr>
          <w:rFonts w:hint="eastAsia"/>
          <w:color w:val="4472C4" w:themeColor="accent1"/>
          <w14:textFill>
            <w14:solidFill>
              <w14:schemeClr w14:val="accent1"/>
            </w14:solidFill>
          </w14:textFill>
        </w:rPr>
        <w:t>包括“很大帮助”、“较大帮助”、“有些帮助”、“没什么帮助”、“完全没帮助”和“无法评价”；</w:t>
      </w:r>
      <w:r>
        <w:rPr>
          <w:rFonts w:hint="eastAsia"/>
          <w:color w:val="4472C4" w:themeColor="accent1"/>
          <w:lang w:val="en-US"/>
          <w14:textFill>
            <w14:solidFill>
              <w14:schemeClr w14:val="accent1"/>
            </w14:solidFill>
          </w14:textFill>
        </w:rPr>
        <w:t>该指标除去“无法评价”的人数，并对</w:t>
      </w:r>
      <w:r>
        <w:rPr>
          <w:rFonts w:hint="eastAsia"/>
          <w:color w:val="4472C4" w:themeColor="accent1"/>
          <w14:textFill>
            <w14:solidFill>
              <w14:schemeClr w14:val="accent1"/>
            </w14:solidFill>
          </w14:textFill>
        </w:rPr>
        <w:t>毕业生的反馈赋予1-5分（“完全没帮助”</w:t>
      </w:r>
      <w:r>
        <w:rPr>
          <w:color w:val="4472C4" w:themeColor="accent1"/>
          <w14:textFill>
            <w14:solidFill>
              <w14:schemeClr w14:val="accent1"/>
            </w14:solidFill>
          </w14:textFill>
        </w:rPr>
        <w:t>=1</w:t>
      </w:r>
      <w:r>
        <w:rPr>
          <w:rFonts w:hint="eastAsia"/>
          <w:color w:val="4472C4" w:themeColor="accent1"/>
          <w14:textFill>
            <w14:solidFill>
              <w14:schemeClr w14:val="accent1"/>
            </w14:solidFill>
          </w14:textFill>
        </w:rPr>
        <w:t>分，“</w:t>
      </w:r>
      <w:r>
        <w:rPr>
          <w:color w:val="4472C4" w:themeColor="accent1"/>
          <w14:textFill>
            <w14:solidFill>
              <w14:schemeClr w14:val="accent1"/>
            </w14:solidFill>
          </w14:textFill>
        </w:rPr>
        <w:t>很</w:t>
      </w:r>
      <w:r>
        <w:rPr>
          <w:rFonts w:hint="eastAsia"/>
          <w:color w:val="4472C4" w:themeColor="accent1"/>
          <w14:textFill>
            <w14:solidFill>
              <w14:schemeClr w14:val="accent1"/>
            </w14:solidFill>
          </w14:textFill>
        </w:rPr>
        <w:t>大帮助”</w:t>
      </w:r>
      <w:r>
        <w:rPr>
          <w:color w:val="4472C4" w:themeColor="accent1"/>
          <w14:textFill>
            <w14:solidFill>
              <w14:schemeClr w14:val="accent1"/>
            </w14:solidFill>
          </w14:textFill>
        </w:rPr>
        <w:t>=5</w:t>
      </w:r>
      <w:r>
        <w:rPr>
          <w:rFonts w:hint="eastAsia"/>
          <w:color w:val="4472C4" w:themeColor="accent1"/>
          <w14:textFill>
            <w14:solidFill>
              <w14:schemeClr w14:val="accent1"/>
            </w14:solidFill>
          </w14:textFill>
        </w:rPr>
        <w:t>分</w:t>
      </w:r>
      <w:r>
        <w:rPr>
          <w:color w:val="4472C4" w:themeColor="accent1"/>
          <w14:textFill>
            <w14:solidFill>
              <w14:schemeClr w14:val="accent1"/>
            </w14:solidFill>
          </w14:textFill>
        </w:rPr>
        <w:t>）</w:t>
      </w:r>
      <w:r>
        <w:rPr>
          <w:rFonts w:hint="eastAsia"/>
          <w:color w:val="4472C4" w:themeColor="accent1"/>
          <w14:textFill>
            <w14:solidFill>
              <w14:schemeClr w14:val="accent1"/>
            </w14:solidFill>
          </w14:textFill>
        </w:rPr>
        <w:t>，计算其均值。</w:t>
      </w:r>
      <w:r>
        <w:rPr>
          <w:rFonts w:hint="eastAsia"/>
          <w:color w:val="4472C4" w:themeColor="accent1"/>
          <w:lang w:val="en-US"/>
          <w14:textFill>
            <w14:solidFill>
              <w14:schemeClr w14:val="accent1"/>
            </w14:solidFill>
          </w14:textFill>
        </w:rPr>
        <w:t>该均值越高，毕业生反映对其越有帮助。</w:t>
      </w:r>
    </w:p>
    <w:p>
      <w:pPr>
        <w:pStyle w:val="119"/>
        <w:ind w:firstLine="720" w:firstLineChars="400"/>
        <w:jc w:val="both"/>
        <w:rPr>
          <w:color w:val="4472C4" w:themeColor="accent1"/>
          <w14:textFill>
            <w14:solidFill>
              <w14:schemeClr w14:val="accent1"/>
            </w14:solidFill>
          </w14:textFill>
        </w:rPr>
      </w:pPr>
      <w:r>
        <w:rPr>
          <w:color w:val="4472C4" w:themeColor="accent1"/>
          <w:lang w:val="en-US"/>
          <w14:textFill>
            <w14:solidFill>
              <w14:schemeClr w14:val="accent1"/>
            </w14:solidFill>
          </w14:textFill>
        </w:rPr>
        <w:t>2.</w:t>
      </w:r>
      <w:r>
        <w:rPr>
          <w:rFonts w:hint="eastAsia"/>
          <w:color w:val="4472C4" w:themeColor="accent1"/>
          <w:lang w:val="en-US"/>
          <w14:textFill>
            <w14:solidFill>
              <w14:schemeClr w14:val="accent1"/>
            </w14:solidFill>
          </w14:textFill>
        </w:rPr>
        <w:t>实践教学总评价=（实验教学评价+实习实训评价+社会实践评价+毕业论文（设计）评价）/</w:t>
      </w:r>
      <w:r>
        <w:rPr>
          <w:color w:val="4472C4" w:themeColor="accent1"/>
          <w:lang w:val="en-US"/>
          <w14:textFill>
            <w14:solidFill>
              <w14:schemeClr w14:val="accent1"/>
            </w14:solidFill>
          </w14:textFill>
        </w:rPr>
        <w:t>4</w:t>
      </w:r>
      <w:r>
        <w:rPr>
          <w:rFonts w:hint="eastAsia"/>
          <w:color w:val="4472C4" w:themeColor="accent1"/>
          <w:lang w:val="en-US"/>
          <w14:textFill>
            <w14:solidFill>
              <w14:schemeClr w14:val="accent1"/>
            </w14:solidFill>
          </w14:textFill>
        </w:rPr>
        <w:t>。</w:t>
      </w:r>
    </w:p>
    <w:p>
      <w:pPr>
        <w:spacing w:line="360" w:lineRule="auto"/>
        <w:ind w:firstLine="360" w:firstLineChars="200"/>
        <w:rPr>
          <w:rFonts w:ascii="Times New Roman" w:hAnsi="Times New Roman"/>
          <w:color w:val="4472C4" w:themeColor="accent1"/>
          <w:sz w:val="18"/>
          <w:szCs w:val="18"/>
          <w14:textFill>
            <w14:solidFill>
              <w14:schemeClr w14:val="accent1"/>
            </w14:solidFill>
          </w14:textFill>
        </w:rPr>
      </w:pPr>
      <w:r>
        <w:rPr>
          <w:rFonts w:hint="eastAsia" w:ascii="Times New Roman" w:hAnsi="Times New Roman"/>
          <w:color w:val="4472C4" w:themeColor="accent1"/>
          <w:sz w:val="18"/>
          <w:szCs w:val="18"/>
          <w14:textFill>
            <w14:solidFill>
              <w14:schemeClr w14:val="accent1"/>
            </w14:solidFill>
          </w14:textFill>
        </w:rPr>
        <w:t>数据来源：第三方机构新锦成</w:t>
      </w:r>
      <w:r>
        <w:rPr>
          <w:rFonts w:ascii="Times New Roman" w:hAnsi="Times New Roman"/>
          <w:color w:val="4472C4" w:themeColor="accent1"/>
          <w:sz w:val="18"/>
          <w:szCs w:val="18"/>
          <w14:textFill>
            <w14:solidFill>
              <w14:schemeClr w14:val="accent1"/>
            </w14:solidFill>
          </w14:textFill>
        </w:rPr>
        <w:t>-2019</w:t>
      </w:r>
      <w:r>
        <w:rPr>
          <w:rFonts w:hint="eastAsia" w:ascii="Times New Roman" w:hAnsi="Times New Roman"/>
          <w:color w:val="4472C4" w:themeColor="accent1"/>
          <w:sz w:val="18"/>
          <w:szCs w:val="18"/>
          <w14:textFill>
            <w14:solidFill>
              <w14:schemeClr w14:val="accent1"/>
            </w14:solidFill>
          </w14:textFill>
        </w:rPr>
        <w:t>届毕业生就业与培养质量调查。</w:t>
      </w:r>
    </w:p>
    <w:p>
      <w:pPr>
        <w:pStyle w:val="144"/>
        <w:spacing w:before="156" w:beforeLines="50" w:after="156" w:afterLines="50"/>
        <w:ind w:firstLine="482"/>
        <w:rPr>
          <w:rFonts w:eastAsia="宋体"/>
          <w:b/>
          <w:color w:val="4472C4" w:themeColor="accent1"/>
          <w14:textFill>
            <w14:solidFill>
              <w14:schemeClr w14:val="accent1"/>
            </w14:solidFill>
          </w14:textFill>
        </w:rPr>
      </w:pPr>
      <w:r>
        <w:rPr>
          <w:rFonts w:eastAsia="宋体"/>
          <w:b/>
          <w:color w:val="4472C4" w:themeColor="accent1"/>
          <w14:textFill>
            <w14:solidFill>
              <w14:schemeClr w14:val="accent1"/>
            </w14:solidFill>
          </w14:textFill>
        </w:rPr>
        <w:t>5.</w:t>
      </w:r>
      <w:r>
        <w:rPr>
          <w:rFonts w:hint="eastAsia" w:eastAsia="宋体"/>
          <w:b/>
          <w:color w:val="4472C4" w:themeColor="accent1"/>
          <w14:textFill>
            <w14:solidFill>
              <w14:schemeClr w14:val="accent1"/>
            </w14:solidFill>
          </w14:textFill>
        </w:rPr>
        <w:t>对教师的评价</w:t>
      </w:r>
    </w:p>
    <w:p>
      <w:pPr>
        <w:pStyle w:val="136"/>
        <w:spacing w:before="156" w:beforeLines="50" w:after="156" w:afterLines="50"/>
        <w:ind w:firstLine="480"/>
      </w:pPr>
      <w:r>
        <w:rPr>
          <w:rFonts w:hint="eastAsia" w:asciiTheme="minorEastAsia" w:hAnsiTheme="minorEastAsia"/>
        </w:rPr>
        <w:t>师资队伍既是教学的主体力量，又是办学的主要条件，也是确保人才培养质量最关键的因素。</w:t>
      </w:r>
      <w:r>
        <w:t>调查了解毕业生对</w:t>
      </w:r>
      <w:r>
        <w:rPr>
          <w:rFonts w:hint="eastAsia"/>
        </w:rPr>
        <w:t>母校任课教师（专业课教师、公共课教师）教学态度和教学水平的满意情况，具体内容如下所示。</w:t>
      </w:r>
    </w:p>
    <w:p>
      <w:pPr>
        <w:spacing w:line="360" w:lineRule="auto"/>
        <w:ind w:firstLine="480"/>
        <w:jc w:val="both"/>
        <w:rPr>
          <w:sz w:val="24"/>
          <w:szCs w:val="24"/>
        </w:rPr>
      </w:pPr>
      <w:r>
        <w:rPr>
          <w:rFonts w:ascii="Times New Roman" w:hAnsi="Times New Roman"/>
          <w:sz w:val="24"/>
          <w:szCs w:val="24"/>
        </w:rPr>
        <w:t>2019</w:t>
      </w:r>
      <w:r>
        <w:rPr>
          <w:rFonts w:hint="eastAsia"/>
          <w:sz w:val="24"/>
          <w:szCs w:val="24"/>
        </w:rPr>
        <w:t>届毕业生对学校任课教师的总评价</w:t>
      </w:r>
      <w:r>
        <w:rPr>
          <w:rStyle w:val="42"/>
          <w:rFonts w:ascii="Times New Roman" w:hAnsi="Times New Roman"/>
          <w:b/>
        </w:rPr>
        <w:footnoteReference w:id="1"/>
      </w:r>
      <w:r>
        <w:rPr>
          <w:rFonts w:hint="eastAsia"/>
          <w:sz w:val="24"/>
          <w:szCs w:val="24"/>
        </w:rPr>
        <w:t>为</w:t>
      </w:r>
      <w:bookmarkStart w:id="225" w:name="_Hlk24233002"/>
      <w:r>
        <w:rPr>
          <w:rFonts w:ascii="Times New Roman" w:hAnsi="Times New Roman"/>
          <w:sz w:val="24"/>
          <w:szCs w:val="24"/>
        </w:rPr>
        <w:t>3.96</w:t>
      </w:r>
      <w:bookmarkEnd w:id="225"/>
      <w:r>
        <w:rPr>
          <w:rFonts w:hint="eastAsia"/>
          <w:sz w:val="24"/>
          <w:szCs w:val="24"/>
        </w:rPr>
        <w:t>分，处于“比较满意”水平；对专业课教师的总评价为</w:t>
      </w:r>
      <w:r>
        <w:rPr>
          <w:rFonts w:ascii="Times New Roman" w:hAnsi="Times New Roman"/>
          <w:sz w:val="24"/>
          <w:szCs w:val="24"/>
        </w:rPr>
        <w:t>4.00</w:t>
      </w:r>
      <w:r>
        <w:rPr>
          <w:rFonts w:hint="eastAsia"/>
          <w:sz w:val="24"/>
          <w:szCs w:val="24"/>
        </w:rPr>
        <w:t>分，对公共课教师的总评价为</w:t>
      </w:r>
      <w:r>
        <w:rPr>
          <w:rFonts w:ascii="Times New Roman" w:hAnsi="Times New Roman"/>
          <w:sz w:val="24"/>
          <w:szCs w:val="24"/>
        </w:rPr>
        <w:t>3.92</w:t>
      </w:r>
      <w:r>
        <w:rPr>
          <w:rFonts w:hint="eastAsia"/>
          <w:sz w:val="24"/>
          <w:szCs w:val="24"/>
        </w:rPr>
        <w:t>分。</w:t>
      </w:r>
    </w:p>
    <w:p>
      <w:pPr>
        <w:spacing w:before="156" w:beforeLines="50" w:after="156" w:afterLines="50" w:line="360" w:lineRule="auto"/>
        <w:ind w:firstLine="482"/>
        <w:jc w:val="both"/>
        <w:rPr>
          <w:rFonts w:ascii="Times New Roman" w:hAnsi="Times New Roman" w:cstheme="minorBidi"/>
          <w:color w:val="000000"/>
          <w:sz w:val="24"/>
          <w:szCs w:val="24"/>
        </w:rPr>
      </w:pPr>
      <w:r>
        <w:rPr>
          <w:rFonts w:hint="eastAsia" w:ascii="Times New Roman" w:hAnsi="Times New Roman" w:cstheme="minorBidi"/>
          <w:b/>
          <w:color w:val="4472C4" w:themeColor="accent1"/>
          <w:sz w:val="24"/>
          <w:szCs w:val="24"/>
          <w14:textFill>
            <w14:solidFill>
              <w14:schemeClr w14:val="accent1"/>
            </w14:solidFill>
          </w14:textFill>
        </w:rPr>
        <w:t>毕业生对专业课教师的评价：</w:t>
      </w:r>
      <w:r>
        <w:rPr>
          <w:rFonts w:hint="eastAsia" w:ascii="Times New Roman" w:hAnsi="Times New Roman" w:cstheme="minorBidi"/>
          <w:color w:val="000000"/>
          <w:sz w:val="24"/>
          <w:szCs w:val="24"/>
        </w:rPr>
        <w:t>具体</w:t>
      </w:r>
      <w:r>
        <w:rPr>
          <w:rFonts w:ascii="Times New Roman" w:hAnsi="Times New Roman" w:cstheme="minorBidi"/>
          <w:color w:val="000000"/>
          <w:sz w:val="24"/>
          <w:szCs w:val="24"/>
        </w:rPr>
        <w:t>方面来看，</w:t>
      </w:r>
      <w:r>
        <w:rPr>
          <w:rFonts w:hint="eastAsia" w:ascii="Times New Roman" w:hAnsi="Times New Roman" w:cstheme="minorBidi"/>
          <w:color w:val="000000"/>
          <w:sz w:val="24"/>
          <w:szCs w:val="24"/>
        </w:rPr>
        <w:t>毕业</w:t>
      </w:r>
      <w:r>
        <w:rPr>
          <w:rFonts w:ascii="Times New Roman" w:hAnsi="Times New Roman" w:cstheme="minorBidi"/>
          <w:color w:val="000000"/>
          <w:sz w:val="24"/>
          <w:szCs w:val="24"/>
        </w:rPr>
        <w:t>生对母校</w:t>
      </w:r>
      <w:r>
        <w:rPr>
          <w:rFonts w:hint="eastAsia" w:ascii="Times New Roman" w:hAnsi="Times New Roman" w:cstheme="minorBidi"/>
          <w:color w:val="000000"/>
          <w:sz w:val="24"/>
          <w:szCs w:val="24"/>
        </w:rPr>
        <w:t>专业课</w:t>
      </w:r>
      <w:r>
        <w:rPr>
          <w:rFonts w:ascii="Times New Roman" w:hAnsi="Times New Roman" w:cstheme="minorBidi"/>
          <w:color w:val="000000"/>
          <w:sz w:val="24"/>
          <w:szCs w:val="24"/>
        </w:rPr>
        <w:t>教师</w:t>
      </w:r>
      <w:r>
        <w:rPr>
          <w:rFonts w:hint="eastAsia" w:ascii="Times New Roman" w:hAnsi="Times New Roman" w:cstheme="minorBidi"/>
          <w:color w:val="000000"/>
          <w:sz w:val="24"/>
          <w:szCs w:val="24"/>
        </w:rPr>
        <w:t>总体满意度为</w:t>
      </w:r>
      <w:r>
        <w:rPr>
          <w:rFonts w:ascii="Times New Roman" w:hAnsi="Times New Roman" w:cstheme="minorBidi"/>
          <w:color w:val="000000"/>
          <w:sz w:val="24"/>
          <w:szCs w:val="24"/>
        </w:rPr>
        <w:t>96.64</w:t>
      </w:r>
      <w:r>
        <w:rPr>
          <w:rFonts w:hint="eastAsia" w:ascii="Times New Roman" w:hAnsi="Times New Roman" w:cstheme="minorBidi"/>
          <w:color w:val="000000"/>
          <w:sz w:val="24"/>
          <w:szCs w:val="24"/>
        </w:rPr>
        <w:t>%</w:t>
      </w:r>
      <w:r>
        <w:rPr>
          <w:rFonts w:ascii="Times New Roman" w:hAnsi="Times New Roman" w:cstheme="minorBidi"/>
          <w:color w:val="000000"/>
          <w:sz w:val="24"/>
          <w:szCs w:val="24"/>
        </w:rPr>
        <w:t>，</w:t>
      </w:r>
      <w:r>
        <w:rPr>
          <w:rFonts w:hint="eastAsia" w:ascii="Times New Roman" w:hAnsi="Times New Roman" w:cstheme="minorBidi"/>
          <w:color w:val="000000"/>
          <w:sz w:val="24"/>
          <w:szCs w:val="24"/>
        </w:rPr>
        <w:t>总评价为4</w:t>
      </w:r>
      <w:r>
        <w:rPr>
          <w:rFonts w:ascii="Times New Roman" w:hAnsi="Times New Roman" w:cstheme="minorBidi"/>
          <w:color w:val="000000"/>
          <w:sz w:val="24"/>
          <w:szCs w:val="24"/>
        </w:rPr>
        <w:t>.00</w:t>
      </w:r>
      <w:r>
        <w:rPr>
          <w:rFonts w:hint="eastAsia" w:ascii="Times New Roman" w:hAnsi="Times New Roman" w:cstheme="minorBidi"/>
          <w:color w:val="000000"/>
          <w:sz w:val="24"/>
          <w:szCs w:val="24"/>
        </w:rPr>
        <w:t>分，处于“比较满意”水平。可见母校专业课任课教师教学态度和教学水平方面均得到</w:t>
      </w:r>
      <w:r>
        <w:rPr>
          <w:rFonts w:ascii="Times New Roman" w:hAnsi="Times New Roman" w:cstheme="minorBidi"/>
          <w:color w:val="000000"/>
          <w:sz w:val="24"/>
          <w:szCs w:val="24"/>
        </w:rPr>
        <w:t>毕业生</w:t>
      </w:r>
      <w:r>
        <w:rPr>
          <w:rFonts w:hint="eastAsia" w:ascii="Times New Roman" w:hAnsi="Times New Roman" w:cstheme="minorBidi"/>
          <w:color w:val="000000"/>
          <w:sz w:val="24"/>
          <w:szCs w:val="24"/>
        </w:rPr>
        <w:t>的普遍认可和高度评价。</w:t>
      </w:r>
    </w:p>
    <w:p>
      <w:pPr>
        <w:jc w:val="center"/>
        <w:rPr>
          <w:rFonts w:ascii="宋体" w:hAnsi="宋体"/>
        </w:rPr>
      </w:pPr>
      <w:r>
        <w:rPr>
          <w:rFonts w:ascii="宋体" w:hAnsi="宋体"/>
        </w:rPr>
        <w:drawing>
          <wp:inline distT="0" distB="0" distL="0" distR="0">
            <wp:extent cx="5399405" cy="1799590"/>
            <wp:effectExtent l="0" t="0" r="0" b="0"/>
            <wp:docPr id="481" name="图表 48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pPr>
        <w:pStyle w:val="203"/>
        <w:spacing w:before="0" w:beforeLines="0" w:after="0" w:afterLines="0"/>
      </w:pPr>
      <w:bookmarkStart w:id="226" w:name="_Toc525725852"/>
      <w:bookmarkStart w:id="227" w:name="_Toc27002327"/>
      <w:r>
        <w:rPr>
          <w:rFonts w:hint="eastAsia"/>
        </w:rPr>
        <w:t xml:space="preserve">图5- </w:t>
      </w:r>
      <w:r>
        <w:fldChar w:fldCharType="begin"/>
      </w:r>
      <w:r>
        <w:instrText xml:space="preserve"> </w:instrText>
      </w:r>
      <w:r>
        <w:rPr>
          <w:rFonts w:hint="eastAsia"/>
        </w:rPr>
        <w:instrText xml:space="preserve">SEQ 图5- \* ARABIC</w:instrText>
      </w:r>
      <w:r>
        <w:instrText xml:space="preserve"> </w:instrText>
      </w:r>
      <w:r>
        <w:fldChar w:fldCharType="separate"/>
      </w:r>
      <w:r>
        <w:t>5</w:t>
      </w:r>
      <w:r>
        <w:fldChar w:fldCharType="end"/>
      </w:r>
      <w:r>
        <w:t xml:space="preserve">  2019</w:t>
      </w:r>
      <w:r>
        <w:rPr>
          <w:rFonts w:hint="eastAsia"/>
        </w:rPr>
        <w:t>届毕业</w:t>
      </w:r>
      <w:r>
        <w:t>生对</w:t>
      </w:r>
      <w:r>
        <w:rPr>
          <w:rFonts w:hint="eastAsia"/>
        </w:rPr>
        <w:t>专业课</w:t>
      </w:r>
      <w:r>
        <w:t>教师</w:t>
      </w:r>
      <w:r>
        <w:rPr>
          <w:rFonts w:hint="eastAsia"/>
        </w:rPr>
        <w:t>教学</w:t>
      </w:r>
      <w:r>
        <w:t>方面的</w:t>
      </w:r>
      <w:r>
        <w:rPr>
          <w:rFonts w:hint="eastAsia"/>
        </w:rPr>
        <w:t>评价</w:t>
      </w:r>
      <w:bookmarkEnd w:id="226"/>
      <w:bookmarkEnd w:id="227"/>
    </w:p>
    <w:p>
      <w:pPr>
        <w:pStyle w:val="119"/>
        <w:ind w:firstLine="360"/>
        <w:jc w:val="both"/>
        <w:rPr>
          <w:color w:val="4472C4" w:themeColor="accent1"/>
          <w14:textFill>
            <w14:solidFill>
              <w14:schemeClr w14:val="accent1"/>
            </w14:solidFill>
          </w14:textFill>
        </w:rPr>
      </w:pPr>
      <w:r>
        <w:rPr>
          <w:rFonts w:hint="eastAsia"/>
          <w:color w:val="4472C4" w:themeColor="accent1"/>
          <w14:textFill>
            <w14:solidFill>
              <w14:schemeClr w14:val="accent1"/>
            </w14:solidFill>
          </w14:textFill>
        </w:rPr>
        <w:t>注：1、评价维度包括“很满意”、“比较满意”、“一般”、“比较不满意”、“很不满意”和“无法评价”；其中，满意度为选择“很满意”、“比较满意”和“一般”的人数占“此题总人数—无法评价人数”的比例。另外针对毕业生的反馈分别赋予1-5分（“很满意”=5分，“很不满意”=1分），计算其均值。</w:t>
      </w:r>
    </w:p>
    <w:p>
      <w:pPr>
        <w:pStyle w:val="119"/>
        <w:ind w:firstLine="720" w:firstLineChars="400"/>
        <w:jc w:val="both"/>
        <w:rPr>
          <w:color w:val="4472C4" w:themeColor="accent1"/>
          <w:lang w:val="en-US"/>
          <w14:textFill>
            <w14:solidFill>
              <w14:schemeClr w14:val="accent1"/>
            </w14:solidFill>
          </w14:textFill>
        </w:rPr>
      </w:pPr>
      <w:r>
        <w:rPr>
          <w:rFonts w:hint="eastAsia"/>
          <w:color w:val="4472C4" w:themeColor="accent1"/>
          <w:lang w:val="en-US"/>
          <w14:textFill>
            <w14:solidFill>
              <w14:schemeClr w14:val="accent1"/>
            </w14:solidFill>
          </w14:textFill>
        </w:rPr>
        <w:t>2、专业课教师的总评价=（专业课教学态度+专业课教学态度）/</w:t>
      </w:r>
      <w:r>
        <w:rPr>
          <w:color w:val="4472C4" w:themeColor="accent1"/>
          <w:lang w:val="en-US"/>
          <w14:textFill>
            <w14:solidFill>
              <w14:schemeClr w14:val="accent1"/>
            </w14:solidFill>
          </w14:textFill>
        </w:rPr>
        <w:t>2</w:t>
      </w:r>
      <w:r>
        <w:rPr>
          <w:rFonts w:hint="eastAsia"/>
          <w:color w:val="4472C4" w:themeColor="accent1"/>
          <w:lang w:val="en-US"/>
          <w14:textFill>
            <w14:solidFill>
              <w14:schemeClr w14:val="accent1"/>
            </w14:solidFill>
          </w14:textFill>
        </w:rPr>
        <w:t>。</w:t>
      </w:r>
    </w:p>
    <w:p>
      <w:pPr>
        <w:pStyle w:val="119"/>
        <w:spacing w:after="156" w:afterLines="50"/>
        <w:ind w:firstLine="360"/>
        <w:rPr>
          <w:color w:val="4472C4" w:themeColor="accent1"/>
          <w14:textFill>
            <w14:solidFill>
              <w14:schemeClr w14:val="accent1"/>
            </w14:solidFill>
          </w14:textFill>
        </w:rPr>
      </w:pPr>
      <w:r>
        <w:rPr>
          <w:rFonts w:hint="eastAsia"/>
          <w:color w:val="4472C4" w:themeColor="accent1"/>
          <w14:textFill>
            <w14:solidFill>
              <w14:schemeClr w14:val="accent1"/>
            </w14:solidFill>
          </w14:textFill>
        </w:rPr>
        <w:t>数据来源：第三方机构新锦成</w:t>
      </w:r>
      <w:r>
        <w:rPr>
          <w:color w:val="4472C4" w:themeColor="accent1"/>
          <w14:textFill>
            <w14:solidFill>
              <w14:schemeClr w14:val="accent1"/>
            </w14:solidFill>
          </w14:textFill>
        </w:rPr>
        <w:t>-2019</w:t>
      </w:r>
      <w:r>
        <w:rPr>
          <w:rFonts w:hint="eastAsia"/>
          <w:color w:val="4472C4" w:themeColor="accent1"/>
          <w14:textFill>
            <w14:solidFill>
              <w14:schemeClr w14:val="accent1"/>
            </w14:solidFill>
          </w14:textFill>
        </w:rPr>
        <w:t>届毕业生就业与培养质量调查。</w:t>
      </w:r>
    </w:p>
    <w:p>
      <w:pPr>
        <w:spacing w:before="156" w:beforeLines="50" w:after="156" w:afterLines="50" w:line="360" w:lineRule="auto"/>
        <w:ind w:firstLine="482"/>
        <w:jc w:val="both"/>
        <w:rPr>
          <w:rStyle w:val="37"/>
          <w:rFonts w:ascii="Times New Roman" w:hAnsi="Times New Roman" w:cstheme="minorBidi"/>
          <w:b w:val="0"/>
          <w:bCs w:val="0"/>
          <w:color w:val="000000"/>
          <w:sz w:val="24"/>
          <w:szCs w:val="24"/>
        </w:rPr>
      </w:pPr>
      <w:r>
        <w:rPr>
          <w:rFonts w:hint="eastAsia" w:ascii="Times New Roman" w:hAnsi="Times New Roman" w:cstheme="minorBidi"/>
          <w:b/>
          <w:color w:val="4472C4" w:themeColor="accent1"/>
          <w:sz w:val="24"/>
          <w:szCs w:val="24"/>
          <w14:textFill>
            <w14:solidFill>
              <w14:schemeClr w14:val="accent1"/>
            </w14:solidFill>
          </w14:textFill>
        </w:rPr>
        <w:t>毕业生对公共课教师的评价：</w:t>
      </w:r>
      <w:r>
        <w:rPr>
          <w:rFonts w:hint="eastAsia" w:ascii="Times New Roman" w:hAnsi="Times New Roman" w:cstheme="minorBidi"/>
          <w:color w:val="000000"/>
          <w:sz w:val="24"/>
          <w:szCs w:val="24"/>
        </w:rPr>
        <w:t>具体</w:t>
      </w:r>
      <w:r>
        <w:rPr>
          <w:rFonts w:ascii="Times New Roman" w:hAnsi="Times New Roman" w:cstheme="minorBidi"/>
          <w:color w:val="000000"/>
          <w:sz w:val="24"/>
          <w:szCs w:val="24"/>
        </w:rPr>
        <w:t>方面来看，</w:t>
      </w:r>
      <w:r>
        <w:rPr>
          <w:rFonts w:hint="eastAsia" w:ascii="Times New Roman" w:hAnsi="Times New Roman" w:cstheme="minorBidi"/>
          <w:color w:val="000000"/>
          <w:sz w:val="24"/>
          <w:szCs w:val="24"/>
        </w:rPr>
        <w:t>毕业</w:t>
      </w:r>
      <w:r>
        <w:rPr>
          <w:rFonts w:ascii="Times New Roman" w:hAnsi="Times New Roman" w:cstheme="minorBidi"/>
          <w:color w:val="000000"/>
          <w:sz w:val="24"/>
          <w:szCs w:val="24"/>
        </w:rPr>
        <w:t>生对母校</w:t>
      </w:r>
      <w:r>
        <w:rPr>
          <w:rFonts w:hint="eastAsia" w:ascii="Times New Roman" w:hAnsi="Times New Roman" w:cstheme="minorBidi"/>
          <w:color w:val="000000"/>
          <w:sz w:val="24"/>
          <w:szCs w:val="24"/>
        </w:rPr>
        <w:t>公共课</w:t>
      </w:r>
      <w:r>
        <w:rPr>
          <w:rFonts w:ascii="Times New Roman" w:hAnsi="Times New Roman" w:cstheme="minorBidi"/>
          <w:color w:val="000000"/>
          <w:sz w:val="24"/>
          <w:szCs w:val="24"/>
        </w:rPr>
        <w:t>教师</w:t>
      </w:r>
      <w:r>
        <w:rPr>
          <w:rFonts w:hint="eastAsia" w:ascii="Times New Roman" w:hAnsi="Times New Roman" w:cstheme="minorBidi"/>
          <w:color w:val="000000"/>
          <w:sz w:val="24"/>
          <w:szCs w:val="24"/>
        </w:rPr>
        <w:t>总体满意度为9</w:t>
      </w:r>
      <w:r>
        <w:rPr>
          <w:rFonts w:ascii="Times New Roman" w:hAnsi="Times New Roman" w:cstheme="minorBidi"/>
          <w:color w:val="000000"/>
          <w:sz w:val="24"/>
          <w:szCs w:val="24"/>
        </w:rPr>
        <w:t>6.47</w:t>
      </w:r>
      <w:r>
        <w:rPr>
          <w:rFonts w:hint="eastAsia" w:ascii="Times New Roman" w:hAnsi="Times New Roman" w:cstheme="minorBidi"/>
          <w:color w:val="000000"/>
          <w:sz w:val="24"/>
          <w:szCs w:val="24"/>
        </w:rPr>
        <w:t>%</w:t>
      </w:r>
      <w:r>
        <w:rPr>
          <w:rFonts w:ascii="Times New Roman" w:hAnsi="Times New Roman" w:cstheme="minorBidi"/>
          <w:color w:val="000000"/>
          <w:sz w:val="24"/>
          <w:szCs w:val="24"/>
        </w:rPr>
        <w:t>，</w:t>
      </w:r>
      <w:r>
        <w:rPr>
          <w:rFonts w:hint="eastAsia" w:ascii="Times New Roman" w:hAnsi="Times New Roman" w:cstheme="minorBidi"/>
          <w:color w:val="000000"/>
          <w:sz w:val="24"/>
          <w:szCs w:val="24"/>
        </w:rPr>
        <w:t>总评价为</w:t>
      </w:r>
      <w:r>
        <w:rPr>
          <w:rFonts w:ascii="Times New Roman" w:hAnsi="Times New Roman" w:cstheme="minorBidi"/>
          <w:color w:val="000000"/>
          <w:sz w:val="24"/>
          <w:szCs w:val="24"/>
        </w:rPr>
        <w:t>3.92</w:t>
      </w:r>
      <w:r>
        <w:rPr>
          <w:rFonts w:hint="eastAsia" w:ascii="Times New Roman" w:hAnsi="Times New Roman" w:cstheme="minorBidi"/>
          <w:color w:val="000000"/>
          <w:sz w:val="24"/>
          <w:szCs w:val="24"/>
        </w:rPr>
        <w:t>分，处于“比较满意”水平。可见母校公共课任课教师教学态度和教学水平方面均得到</w:t>
      </w:r>
      <w:r>
        <w:rPr>
          <w:rFonts w:ascii="Times New Roman" w:hAnsi="Times New Roman" w:cstheme="minorBidi"/>
          <w:color w:val="000000"/>
          <w:sz w:val="24"/>
          <w:szCs w:val="24"/>
        </w:rPr>
        <w:t>毕业生</w:t>
      </w:r>
      <w:r>
        <w:rPr>
          <w:rFonts w:hint="eastAsia" w:ascii="Times New Roman" w:hAnsi="Times New Roman" w:cstheme="minorBidi"/>
          <w:color w:val="000000"/>
          <w:sz w:val="24"/>
          <w:szCs w:val="24"/>
        </w:rPr>
        <w:t>的普遍认可和高度评价。</w:t>
      </w:r>
    </w:p>
    <w:p>
      <w:pPr>
        <w:jc w:val="center"/>
        <w:rPr>
          <w:rFonts w:ascii="宋体" w:hAnsi="宋体"/>
        </w:rPr>
      </w:pPr>
      <w:r>
        <w:rPr>
          <w:rFonts w:ascii="宋体" w:hAnsi="宋体"/>
        </w:rPr>
        <w:drawing>
          <wp:inline distT="0" distB="0" distL="0" distR="0">
            <wp:extent cx="5399405" cy="1799590"/>
            <wp:effectExtent l="0" t="0" r="0" b="0"/>
            <wp:docPr id="80" name="图表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pPr>
        <w:pStyle w:val="203"/>
        <w:spacing w:before="0" w:beforeLines="0" w:after="0" w:afterLines="0"/>
      </w:pPr>
      <w:bookmarkStart w:id="228" w:name="_Toc525725853"/>
      <w:bookmarkStart w:id="229" w:name="_Toc27002328"/>
      <w:r>
        <w:rPr>
          <w:rFonts w:hint="eastAsia"/>
        </w:rPr>
        <w:t xml:space="preserve">图5- </w:t>
      </w:r>
      <w:r>
        <w:fldChar w:fldCharType="begin"/>
      </w:r>
      <w:r>
        <w:instrText xml:space="preserve"> </w:instrText>
      </w:r>
      <w:r>
        <w:rPr>
          <w:rFonts w:hint="eastAsia"/>
        </w:rPr>
        <w:instrText xml:space="preserve">SEQ 图5- \* ARABIC</w:instrText>
      </w:r>
      <w:r>
        <w:instrText xml:space="preserve"> </w:instrText>
      </w:r>
      <w:r>
        <w:fldChar w:fldCharType="separate"/>
      </w:r>
      <w:r>
        <w:t>6</w:t>
      </w:r>
      <w:r>
        <w:fldChar w:fldCharType="end"/>
      </w:r>
      <w:r>
        <w:t xml:space="preserve">  2019</w:t>
      </w:r>
      <w:r>
        <w:rPr>
          <w:rFonts w:hint="eastAsia"/>
        </w:rPr>
        <w:t>届毕业</w:t>
      </w:r>
      <w:r>
        <w:t>生对</w:t>
      </w:r>
      <w:r>
        <w:rPr>
          <w:rFonts w:hint="eastAsia"/>
        </w:rPr>
        <w:t>公共课</w:t>
      </w:r>
      <w:r>
        <w:t>教师</w:t>
      </w:r>
      <w:r>
        <w:rPr>
          <w:rFonts w:hint="eastAsia"/>
        </w:rPr>
        <w:t>教学</w:t>
      </w:r>
      <w:r>
        <w:t>方面的</w:t>
      </w:r>
      <w:r>
        <w:rPr>
          <w:rFonts w:hint="eastAsia"/>
        </w:rPr>
        <w:t>评价</w:t>
      </w:r>
      <w:bookmarkEnd w:id="228"/>
      <w:bookmarkEnd w:id="229"/>
    </w:p>
    <w:p>
      <w:pPr>
        <w:pStyle w:val="119"/>
        <w:ind w:firstLine="360"/>
        <w:jc w:val="both"/>
        <w:rPr>
          <w:color w:val="4472C4" w:themeColor="accent1"/>
          <w14:textFill>
            <w14:solidFill>
              <w14:schemeClr w14:val="accent1"/>
            </w14:solidFill>
          </w14:textFill>
        </w:rPr>
      </w:pPr>
      <w:r>
        <w:rPr>
          <w:rFonts w:hint="eastAsia"/>
          <w:color w:val="4472C4" w:themeColor="accent1"/>
          <w14:textFill>
            <w14:solidFill>
              <w14:schemeClr w14:val="accent1"/>
            </w14:solidFill>
          </w14:textFill>
        </w:rPr>
        <w:t>注：1、评价维度包括“很满意”、“比较满意”、“一般”、“比较不满意”、“很不满意”和“无法评价”；其中，满意度为选择“很满意”、“比较满意”和“一般”的人数占“此题总人数—无法评价人数”的比例。另外针对毕业生的反馈分别赋予1-5分（“很满意”=5分，“很不满意”=1分），计算其均值。</w:t>
      </w:r>
    </w:p>
    <w:p>
      <w:pPr>
        <w:pStyle w:val="119"/>
        <w:ind w:firstLine="720" w:firstLineChars="400"/>
        <w:jc w:val="both"/>
        <w:rPr>
          <w:color w:val="4472C4" w:themeColor="accent1"/>
          <w:lang w:val="en-US"/>
          <w14:textFill>
            <w14:solidFill>
              <w14:schemeClr w14:val="accent1"/>
            </w14:solidFill>
          </w14:textFill>
        </w:rPr>
      </w:pPr>
      <w:r>
        <w:rPr>
          <w:rFonts w:hint="eastAsia"/>
          <w:color w:val="4472C4" w:themeColor="accent1"/>
          <w:lang w:val="en-US"/>
          <w14:textFill>
            <w14:solidFill>
              <w14:schemeClr w14:val="accent1"/>
            </w14:solidFill>
          </w14:textFill>
        </w:rPr>
        <w:t>2、公共课教师总评价=（专业课教学态度+专业课教学态度）/</w:t>
      </w:r>
      <w:r>
        <w:rPr>
          <w:color w:val="4472C4" w:themeColor="accent1"/>
          <w:lang w:val="en-US"/>
          <w14:textFill>
            <w14:solidFill>
              <w14:schemeClr w14:val="accent1"/>
            </w14:solidFill>
          </w14:textFill>
        </w:rPr>
        <w:t>2</w:t>
      </w:r>
      <w:r>
        <w:rPr>
          <w:rFonts w:hint="eastAsia"/>
          <w:color w:val="4472C4" w:themeColor="accent1"/>
          <w:lang w:val="en-US"/>
          <w14:textFill>
            <w14:solidFill>
              <w14:schemeClr w14:val="accent1"/>
            </w14:solidFill>
          </w14:textFill>
        </w:rPr>
        <w:t>。</w:t>
      </w:r>
    </w:p>
    <w:p>
      <w:pPr>
        <w:pStyle w:val="119"/>
        <w:ind w:firstLine="360"/>
        <w:rPr>
          <w:color w:val="4472C4" w:themeColor="accent1"/>
          <w14:textFill>
            <w14:solidFill>
              <w14:schemeClr w14:val="accent1"/>
            </w14:solidFill>
          </w14:textFill>
        </w:rPr>
      </w:pPr>
      <w:r>
        <w:rPr>
          <w:rFonts w:hint="eastAsia"/>
          <w:color w:val="4472C4" w:themeColor="accent1"/>
          <w14:textFill>
            <w14:solidFill>
              <w14:schemeClr w14:val="accent1"/>
            </w14:solidFill>
          </w14:textFill>
        </w:rPr>
        <w:t>数据来源：第三方机构新锦成</w:t>
      </w:r>
      <w:r>
        <w:rPr>
          <w:color w:val="4472C4" w:themeColor="accent1"/>
          <w14:textFill>
            <w14:solidFill>
              <w14:schemeClr w14:val="accent1"/>
            </w14:solidFill>
          </w14:textFill>
        </w:rPr>
        <w:t>-2019</w:t>
      </w:r>
      <w:r>
        <w:rPr>
          <w:rFonts w:hint="eastAsia"/>
          <w:color w:val="4472C4" w:themeColor="accent1"/>
          <w14:textFill>
            <w14:solidFill>
              <w14:schemeClr w14:val="accent1"/>
            </w14:solidFill>
          </w14:textFill>
        </w:rPr>
        <w:t>届毕业生就业与培养质量调查。</w:t>
      </w:r>
    </w:p>
    <w:p>
      <w:pPr>
        <w:pStyle w:val="144"/>
        <w:spacing w:before="156" w:beforeLines="50" w:after="156" w:afterLines="50"/>
        <w:ind w:firstLine="482"/>
        <w:rPr>
          <w:rFonts w:eastAsia="宋体"/>
          <w:b/>
          <w:color w:val="4472C4" w:themeColor="accent1"/>
          <w14:textFill>
            <w14:solidFill>
              <w14:schemeClr w14:val="accent1"/>
            </w14:solidFill>
          </w14:textFill>
        </w:rPr>
      </w:pPr>
      <w:r>
        <w:rPr>
          <w:rFonts w:eastAsia="宋体"/>
          <w:b/>
          <w:color w:val="4472C4" w:themeColor="accent1"/>
          <w14:textFill>
            <w14:solidFill>
              <w14:schemeClr w14:val="accent1"/>
            </w14:solidFill>
          </w14:textFill>
        </w:rPr>
        <w:t>6.</w:t>
      </w:r>
      <w:r>
        <w:rPr>
          <w:rFonts w:hint="eastAsia" w:eastAsia="宋体"/>
          <w:b/>
          <w:color w:val="4472C4" w:themeColor="accent1"/>
          <w14:textFill>
            <w14:solidFill>
              <w14:schemeClr w14:val="accent1"/>
            </w14:solidFill>
          </w14:textFill>
        </w:rPr>
        <w:t>毕业生能力素质的评价</w:t>
      </w:r>
    </w:p>
    <w:p>
      <w:pPr>
        <w:pStyle w:val="136"/>
        <w:spacing w:before="156" w:beforeLines="50" w:after="156" w:afterLines="50"/>
        <w:ind w:firstLine="480"/>
      </w:pPr>
      <w:r>
        <w:rPr>
          <w:rFonts w:hint="eastAsia"/>
        </w:rPr>
        <w:t>学生作为人才培养效果的评价主体之一，其对各项就业基础能力素质和专业素质的评价对于了解学校人才培养质量也具有一定的参考意义。因此，此次调查内容包含了毕业生对自身各项能力水平的重要度、水平</w:t>
      </w:r>
      <w:r>
        <w:t>及其</w:t>
      </w:r>
      <w:r>
        <w:rPr>
          <w:rFonts w:hint="eastAsia"/>
        </w:rPr>
        <w:t>满足目前工作需求程度的评价。具体内容如下所示。</w:t>
      </w:r>
    </w:p>
    <w:bookmarkEnd w:id="206"/>
    <w:p>
      <w:pPr>
        <w:pStyle w:val="199"/>
        <w:spacing w:before="156" w:beforeLines="50" w:after="156" w:afterLines="50"/>
        <w:ind w:firstLine="482"/>
        <w:rPr>
          <w:lang w:val="zh-CN"/>
        </w:rPr>
      </w:pPr>
      <w:bookmarkStart w:id="230" w:name="_Hlk522873281"/>
      <w:r>
        <w:rPr>
          <w:rFonts w:hint="eastAsia"/>
          <w:b/>
          <w:color w:val="4472C4" w:themeColor="accent1"/>
          <w14:textFill>
            <w14:solidFill>
              <w14:schemeClr w14:val="accent1"/>
            </w14:solidFill>
          </w14:textFill>
        </w:rPr>
        <w:t>对基础</w:t>
      </w:r>
      <w:r>
        <w:rPr>
          <w:b/>
          <w:color w:val="4472C4" w:themeColor="accent1"/>
          <w14:textFill>
            <w14:solidFill>
              <w14:schemeClr w14:val="accent1"/>
            </w14:solidFill>
          </w14:textFill>
        </w:rPr>
        <w:t>能力</w:t>
      </w:r>
      <w:r>
        <w:rPr>
          <w:rFonts w:hint="eastAsia"/>
          <w:b/>
          <w:color w:val="4472C4" w:themeColor="accent1"/>
          <w14:textFill>
            <w14:solidFill>
              <w14:schemeClr w14:val="accent1"/>
            </w14:solidFill>
          </w14:textFill>
        </w:rPr>
        <w:t>素质的评价</w:t>
      </w:r>
      <w:bookmarkEnd w:id="230"/>
      <w:r>
        <w:rPr>
          <w:rFonts w:hint="eastAsia"/>
          <w:b/>
          <w:color w:val="4472C4" w:themeColor="accent1"/>
          <w14:textFill>
            <w14:solidFill>
              <w14:schemeClr w14:val="accent1"/>
            </w14:solidFill>
          </w14:textFill>
        </w:rPr>
        <w:t>：</w:t>
      </w:r>
      <w:r>
        <w:rPr>
          <w:lang w:val="zh-CN"/>
        </w:rPr>
        <w:t>对于目前工作需求</w:t>
      </w:r>
      <w:r>
        <w:rPr>
          <w:rFonts w:hint="eastAsia"/>
          <w:lang w:val="zh-CN"/>
        </w:rPr>
        <w:t>而言</w:t>
      </w:r>
      <w:r>
        <w:rPr>
          <w:lang w:val="zh-CN"/>
        </w:rPr>
        <w:t>，</w:t>
      </w:r>
      <w:r>
        <w:rPr>
          <w:rFonts w:hint="eastAsia"/>
          <w:lang w:val="zh-CN"/>
        </w:rPr>
        <w:t>学校201</w:t>
      </w:r>
      <w:r>
        <w:rPr>
          <w:lang w:val="zh-CN"/>
        </w:rPr>
        <w:t>9</w:t>
      </w:r>
      <w:r>
        <w:rPr>
          <w:rFonts w:hint="eastAsia"/>
          <w:lang w:val="zh-CN"/>
        </w:rPr>
        <w:t>届</w:t>
      </w:r>
      <w:r>
        <w:rPr>
          <w:lang w:val="zh-CN"/>
        </w:rPr>
        <w:t>毕业生认为重要</w:t>
      </w:r>
      <w:r>
        <w:rPr>
          <w:rFonts w:hint="eastAsia"/>
          <w:lang w:val="zh-CN"/>
        </w:rPr>
        <w:t>性</w:t>
      </w:r>
      <w:r>
        <w:rPr>
          <w:lang w:val="zh-CN"/>
        </w:rPr>
        <w:t>排名前</w:t>
      </w:r>
      <w:r>
        <w:rPr>
          <w:rFonts w:hint="eastAsia"/>
          <w:lang w:val="zh-CN"/>
        </w:rPr>
        <w:t>十位</w:t>
      </w:r>
      <w:r>
        <w:rPr>
          <w:lang w:val="zh-CN"/>
        </w:rPr>
        <w:t>的</w:t>
      </w:r>
      <w:r>
        <w:rPr>
          <w:rFonts w:hint="eastAsia"/>
          <w:lang w:val="zh-CN"/>
        </w:rPr>
        <w:t>基础能力素质</w:t>
      </w:r>
      <w:r>
        <w:rPr>
          <w:lang w:val="zh-CN"/>
        </w:rPr>
        <w:t>依次为：</w:t>
      </w:r>
      <w:r>
        <w:rPr>
          <w:rFonts w:hint="eastAsia"/>
          <w:lang w:val="zh-CN"/>
        </w:rPr>
        <w:t>逻辑思维、表达能力、善于观察、创新思维、记忆能力、团队意识、阅读理解、主动学习、善于倾听、数学运算；而自身</w:t>
      </w:r>
      <w:r>
        <w:rPr>
          <w:lang w:val="zh-CN"/>
        </w:rPr>
        <w:t>这</w:t>
      </w:r>
      <w:r>
        <w:rPr>
          <w:rFonts w:hint="eastAsia"/>
          <w:lang w:val="zh-CN"/>
        </w:rPr>
        <w:t>十项</w:t>
      </w:r>
      <w:r>
        <w:rPr>
          <w:lang w:val="zh-CN"/>
        </w:rPr>
        <w:t>能力满足</w:t>
      </w:r>
      <w:r>
        <w:rPr>
          <w:rFonts w:hint="eastAsia"/>
          <w:lang w:val="zh-CN"/>
        </w:rPr>
        <w:t>目前</w:t>
      </w:r>
      <w:r>
        <w:rPr>
          <w:lang w:val="zh-CN"/>
        </w:rPr>
        <w:t>工作</w:t>
      </w:r>
      <w:r>
        <w:rPr>
          <w:rFonts w:hint="eastAsia"/>
          <w:lang w:val="zh-CN"/>
        </w:rPr>
        <w:t>需求的水平均在</w:t>
      </w:r>
      <w:r>
        <w:rPr>
          <w:rFonts w:hint="eastAsia"/>
        </w:rPr>
        <w:t>2.88分</w:t>
      </w:r>
      <w:r>
        <w:rPr>
          <w:lang w:val="zh-CN"/>
        </w:rPr>
        <w:t>以上；其中</w:t>
      </w:r>
      <w:r>
        <w:rPr>
          <w:rFonts w:ascii="宋体" w:hAnsi="宋体"/>
          <w:lang w:val="zh-CN"/>
        </w:rPr>
        <w:t>“</w:t>
      </w:r>
      <w:r>
        <w:rPr>
          <w:rFonts w:hint="eastAsia" w:ascii="宋体" w:hAnsi="宋体"/>
        </w:rPr>
        <w:t>团队意识</w:t>
      </w:r>
      <w:r>
        <w:rPr>
          <w:rFonts w:ascii="宋体" w:hAnsi="宋体"/>
          <w:lang w:val="zh-CN"/>
        </w:rPr>
        <w:t>”</w:t>
      </w:r>
      <w:r>
        <w:rPr>
          <w:rFonts w:hint="eastAsia" w:ascii="宋体" w:hAnsi="宋体"/>
          <w:lang w:val="zh-CN"/>
        </w:rPr>
        <w:t>和“</w:t>
      </w:r>
      <w:r>
        <w:rPr>
          <w:rFonts w:hint="eastAsia"/>
          <w:lang w:val="zh-CN"/>
        </w:rPr>
        <w:t>主动学习</w:t>
      </w:r>
      <w:r>
        <w:rPr>
          <w:rFonts w:hint="eastAsia" w:ascii="宋体" w:hAnsi="宋体"/>
          <w:lang w:val="zh-CN"/>
        </w:rPr>
        <w:t>”</w:t>
      </w:r>
      <w:r>
        <w:rPr>
          <w:rFonts w:hint="eastAsia"/>
          <w:lang w:val="zh-CN"/>
        </w:rPr>
        <w:t>的水平相对较高</w:t>
      </w:r>
      <w:r>
        <w:rPr>
          <w:lang w:val="zh-CN"/>
        </w:rPr>
        <w:t>，</w:t>
      </w:r>
      <w:r>
        <w:rPr>
          <w:rFonts w:hint="eastAsia"/>
          <w:lang w:val="zh-CN"/>
        </w:rPr>
        <w:t>均值分别为</w:t>
      </w:r>
      <w:r>
        <w:rPr>
          <w:rFonts w:cs="Times New Roman"/>
          <w:sz w:val="21"/>
          <w:szCs w:val="21"/>
        </w:rPr>
        <w:t>4.30</w:t>
      </w:r>
      <w:r>
        <w:rPr>
          <w:rFonts w:hint="eastAsia"/>
        </w:rPr>
        <w:t>分</w:t>
      </w:r>
      <w:r>
        <w:rPr>
          <w:lang w:val="zh-CN"/>
        </w:rPr>
        <w:t>和</w:t>
      </w:r>
      <w:r>
        <w:t>4.01</w:t>
      </w:r>
      <w:r>
        <w:rPr>
          <w:rFonts w:hint="eastAsia"/>
        </w:rPr>
        <w:t>分</w:t>
      </w:r>
      <w:r>
        <w:rPr>
          <w:lang w:val="zh-CN"/>
        </w:rPr>
        <w:t>。</w:t>
      </w:r>
    </w:p>
    <w:p>
      <w:pPr>
        <w:jc w:val="center"/>
        <w:rPr>
          <w:rFonts w:ascii="宋体" w:hAnsi="宋体"/>
        </w:rPr>
      </w:pPr>
      <w:r>
        <w:rPr>
          <w:rFonts w:ascii="宋体" w:hAnsi="宋体"/>
        </w:rPr>
        <mc:AlternateContent>
          <mc:Choice Requires="wps">
            <w:drawing>
              <wp:anchor distT="0" distB="0" distL="114300" distR="114300" simplePos="0" relativeHeight="251892736" behindDoc="0" locked="0" layoutInCell="1" allowOverlap="1">
                <wp:simplePos x="0" y="0"/>
                <wp:positionH relativeFrom="column">
                  <wp:posOffset>5349240</wp:posOffset>
                </wp:positionH>
                <wp:positionV relativeFrom="paragraph">
                  <wp:posOffset>1219835</wp:posOffset>
                </wp:positionV>
                <wp:extent cx="600075" cy="314325"/>
                <wp:effectExtent l="0" t="0" r="0" b="0"/>
                <wp:wrapNone/>
                <wp:docPr id="486" name="文本框 486"/>
                <wp:cNvGraphicFramePr/>
                <a:graphic xmlns:a="http://schemas.openxmlformats.org/drawingml/2006/main">
                  <a:graphicData uri="http://schemas.microsoft.com/office/word/2010/wordprocessingShape">
                    <wps:wsp>
                      <wps:cNvSpPr txBox="1"/>
                      <wps:spPr>
                        <a:xfrm>
                          <a:off x="0" y="0"/>
                          <a:ext cx="6000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b/>
                                <w:sz w:val="21"/>
                              </w:rPr>
                            </w:pPr>
                            <w:r>
                              <w:rPr>
                                <w:rFonts w:hint="eastAsia"/>
                                <w:b/>
                                <w:sz w:val="21"/>
                              </w:rPr>
                              <w:t>重要度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1.2pt;margin-top:96.05pt;height:24.75pt;width:47.25pt;z-index:251892736;mso-width-relative:page;mso-height-relative:page;" filled="f" stroked="f" coordsize="21600,21600" o:gfxdata="UEsDBAoAAAAAAIdO4kAAAAAAAAAAAAAAAAAEAAAAZHJzL1BLAwQUAAAACACHTuJAgUNV1NwAAAAL&#10;AQAADwAAAGRycy9kb3ducmV2LnhtbE2Py07DMBBF90j8gzWV2FEnJkRJiFOhSBUSgkVLN+wmsZtE&#10;je0Quw/4eoZVWY7u0b1nytXFjOykZz84KyFeRsC0bZ0abCdh97G+z4D5gFbh6KyW8K09rKrbmxIL&#10;5c52o0/b0DEqsb5ACX0IU8G5b3tt0C/dpC1lezcbDHTOHVcznqncjFxEUcoNDpYWepx03ev2sD0a&#10;Ca/1+h03jTDZz1i/vO2fp6/d56OUd4s4egIW9CVcYfjTJ3WoyKlxR6s8GyVkiUgIpSAXMTAi8oc0&#10;B9ZIEEmcAq9K/v+H6hdQSwMEFAAAAAgAh07iQIhoYkMmAgAAKQQAAA4AAABkcnMvZTJvRG9jLnht&#10;bK1TzY7TMBC+I/EOlu806e8uVdNV2VUR0opdqSDOrmM3kWyPsd0m5QHgDfbEhTvP1edg7LTdCjgh&#10;Ls785ZuZb2ZmN61WZCecr8EUtN/LKRGGQ1mbTUE/fli+uqbEB2ZKpsCIgu6Fpzfzly9mjZ2KAVSg&#10;SuEIghg/bWxBqxDsNMs8r4RmvgdWGHRKcJoFVN0mKx1rEF2rbJDnk6wBV1oHXHiP1rvOSecJX0rB&#10;w4OUXgSiCoq1hfS69K7jm81nbLpxzFY1P5bB/qEKzWqDSc9QdywwsnX1H1C65g48yNDjoDOQsuYi&#10;9YDd9PPfullVzIrUC5Lj7Zkm//9g+fvdoyN1WdDR9YQSwzQO6fD07fD95+HHVxKNSFFj/RQjVxZj&#10;Q/sGWhz1ye7RGDtvpdPxiz0R9CPZ+zPBog2Eo3GS5/nVmBKOrmF/NByMI0r2/LN1PrwVoEkUCupw&#10;folWtrv3oQs9hcRcBpa1UmmGypAGEwzHefrh7EFwZWKsSNtwhIkNdYVHKbTr9tjlGso9Numg2xRv&#10;+bLGUu6ZD4/M4WpgX7ju4QEfqQBTwlGipAL35W/2GI8TQy8lDa5aQf3nLXOCEvXO4Cxf90ejuJtJ&#10;GY2vBqi4S8/60mO2+hZwm/t4WJYnMcYHdRKlA/0Jr2IRs6KLGY65CxpO4m3oDgCviovFIgXhNloW&#10;7s3K8gjdkbvYBpB14j3S1HGD84oK7mOa3PF24sJf6inq+cL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BQ1XU3AAAAAsBAAAPAAAAAAAAAAEAIAAAACIAAABkcnMvZG93bnJldi54bWxQSwECFAAU&#10;AAAACACHTuJAiGhiQyYCAAApBAAADgAAAAAAAAABACAAAAArAQAAZHJzL2Uyb0RvYy54bWxQSwUG&#10;AAAAAAYABgBZAQAAwwUAAAAA&#10;">
                <v:fill on="f" focussize="0,0"/>
                <v:stroke on="f" weight="0.5pt"/>
                <v:imagedata o:title=""/>
                <o:lock v:ext="edit" aspectratio="f"/>
                <v:textbox>
                  <w:txbxContent>
                    <w:p>
                      <w:pPr>
                        <w:rPr>
                          <w:b/>
                          <w:sz w:val="21"/>
                        </w:rPr>
                      </w:pPr>
                      <w:r>
                        <w:rPr>
                          <w:rFonts w:hint="eastAsia"/>
                          <w:b/>
                          <w:sz w:val="21"/>
                        </w:rPr>
                        <w:t>重要度</w:t>
                      </w:r>
                    </w:p>
                  </w:txbxContent>
                </v:textbox>
              </v:shape>
            </w:pict>
          </mc:Fallback>
        </mc:AlternateContent>
      </w:r>
      <w:r>
        <w:rPr>
          <w:rFonts w:ascii="宋体" w:hAnsi="宋体"/>
        </w:rPr>
        <mc:AlternateContent>
          <mc:Choice Requires="wps">
            <w:drawing>
              <wp:anchor distT="0" distB="0" distL="114300" distR="114300" simplePos="0" relativeHeight="251893760" behindDoc="0" locked="0" layoutInCell="1" allowOverlap="1">
                <wp:simplePos x="0" y="0"/>
                <wp:positionH relativeFrom="page">
                  <wp:posOffset>3623310</wp:posOffset>
                </wp:positionH>
                <wp:positionV relativeFrom="paragraph">
                  <wp:posOffset>-46990</wp:posOffset>
                </wp:positionV>
                <wp:extent cx="600075" cy="28575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6000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b/>
                                <w:sz w:val="21"/>
                              </w:rPr>
                            </w:pPr>
                            <w:r>
                              <w:rPr>
                                <w:rFonts w:hint="eastAsia"/>
                                <w:b/>
                                <w:sz w:val="21"/>
                              </w:rPr>
                              <w:t>水平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3pt;margin-top:-3.7pt;height:22.5pt;width:47.25pt;mso-position-horizontal-relative:page;z-index:251893760;mso-width-relative:page;mso-height-relative:page;" filled="f" stroked="f" coordsize="21600,21600" o:gfxdata="UEsDBAoAAAAAAIdO4kAAAAAAAAAAAAAAAAAEAAAAZHJzL1BLAwQUAAAACACHTuJAlqi9GdsAAAAJ&#10;AQAADwAAAGRycy9kb3ducmV2LnhtbE2Py07DMBBF90j8gzVI7Fo7hSRVGqdCkSokBIuWbthNYjeJ&#10;ao9D7D7g6zErWI7u0b1nyvXVGnbWkx8cSUjmApim1qmBOgn7981sCcwHJIXGkZbwpT2sq9ubEgvl&#10;LrTV513oWCwhX6CEPoSx4Ny3vbbo527UFLODmyyGeE4dVxNeYrk1fCFExi0OFBd6HHXd6/a4O1kJ&#10;L/XmDbfNwi6/Tf38engaP/cfqZT3d4lYAQv6Gv5g+NWP6lBFp8adSHlmJKS5yCIqYZY/AotAlqUJ&#10;sEbCQ54Br0r+/4PqB1BLAwQUAAAACACHTuJA2F8ZbCQCAAAnBAAADgAAAGRycy9lMm9Eb2MueG1s&#10;rVPNjtowEL5X6jtYvpcECuwWEVZ0V1SVUHclWvVsHJtEsj2ubUjoA7RvsKdeeu9z8RwdO8DSn1PV&#10;izN/mZ9vvpnetFqRnXC+BlPQfi+nRBgOZW02Bf3wfvHimhIfmCmZAiMKuhee3syeP5s2diIGUIEq&#10;hSOYxPhJYwtahWAnWeZ5JTTzPbDCoFOC0yyg6jZZ6ViD2bXKBnk+zhpwpXXAhfdoveucdJbySyl4&#10;uJfSi0BUQbG3kF6X3nV8s9mUTTaO2armxzbYP3ShWW2w6DnVHQuMbF39RypdcwceZOhx0BlIWXOR&#10;ZsBp+vlv06wqZkWaBcHx9gyT/39p+bvdgyN1WdDBmBLDNO7o8Pj18O3H4fsXgjYEqLF+gnEri5Gh&#10;fQ0tLvpk92iMc7fS6fjFiQj6Eer9GV7RBsLROM7z/GpECUfX4Hp0NUrwZ08/W+fDGwGaRKGgDreX&#10;QGW7pQ/YCIaeQmItA4taqbRBZUiDBV5iyl88+Icy0SISF45p4kBd41EK7bo9TrmGco9DOuh44i1f&#10;1NjKkvnwwBwSA+dCsod7fKQCLAlHiZIK3Oe/2WM87gu9lDRItIL6T1vmBCXqrcFNvuoPh5GZSRmO&#10;rgaouEvP+tJjtvoWkMt9PCvLkxjjgzqJ0oH+iDcxj1XRxQzH2gUNJ/E2dPTHm+JiPk9ByEXLwtKs&#10;LI+pOwjn2wCyTrhHmDpscAlRQTamdRwvJ9L9Uk9RT/c9+w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WqL0Z2wAAAAkBAAAPAAAAAAAAAAEAIAAAACIAAABkcnMvZG93bnJldi54bWxQSwECFAAUAAAA&#10;CACHTuJA2F8ZbCQCAAAnBAAADgAAAAAAAAABACAAAAAqAQAAZHJzL2Uyb0RvYy54bWxQSwUGAAAA&#10;AAYABgBZAQAAwAUAAAAA&#10;">
                <v:fill on="f" focussize="0,0"/>
                <v:stroke on="f" weight="0.5pt"/>
                <v:imagedata o:title=""/>
                <o:lock v:ext="edit" aspectratio="f"/>
                <v:textbox>
                  <w:txbxContent>
                    <w:p>
                      <w:pPr>
                        <w:jc w:val="center"/>
                        <w:rPr>
                          <w:b/>
                          <w:sz w:val="21"/>
                        </w:rPr>
                      </w:pPr>
                      <w:r>
                        <w:rPr>
                          <w:rFonts w:hint="eastAsia"/>
                          <w:b/>
                          <w:sz w:val="21"/>
                        </w:rPr>
                        <w:t>水平</w:t>
                      </w:r>
                    </w:p>
                  </w:txbxContent>
                </v:textbox>
              </v:shape>
            </w:pict>
          </mc:Fallback>
        </mc:AlternateContent>
      </w:r>
      <w:r>
        <w:rPr>
          <w:rFonts w:hint="eastAsia" w:ascii="宋体" w:hAnsi="宋体"/>
        </w:rPr>
        <w:drawing>
          <wp:inline distT="0" distB="0" distL="0" distR="0">
            <wp:extent cx="5438775" cy="2914650"/>
            <wp:effectExtent l="0" t="0" r="0" b="0"/>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pPr>
        <w:pStyle w:val="203"/>
        <w:spacing w:before="0" w:beforeLines="0" w:after="0" w:afterLines="0"/>
      </w:pPr>
      <w:bookmarkStart w:id="231" w:name="_Toc16673967"/>
      <w:bookmarkStart w:id="232" w:name="_Toc27002329"/>
      <w:r>
        <w:rPr>
          <w:rFonts w:hint="eastAsia"/>
        </w:rPr>
        <w:t xml:space="preserve">图5- </w:t>
      </w:r>
      <w:r>
        <w:fldChar w:fldCharType="begin"/>
      </w:r>
      <w:r>
        <w:instrText xml:space="preserve"> </w:instrText>
      </w:r>
      <w:r>
        <w:rPr>
          <w:rFonts w:hint="eastAsia"/>
        </w:rPr>
        <w:instrText xml:space="preserve">SEQ 图5- \* ARABIC</w:instrText>
      </w:r>
      <w:r>
        <w:instrText xml:space="preserve"> </w:instrText>
      </w:r>
      <w:r>
        <w:fldChar w:fldCharType="separate"/>
      </w:r>
      <w:r>
        <w:t>7</w:t>
      </w:r>
      <w:r>
        <w:fldChar w:fldCharType="end"/>
      </w:r>
      <w:r>
        <w:t xml:space="preserve">  </w:t>
      </w:r>
      <w:r>
        <w:rPr>
          <w:rFonts w:hint="eastAsia"/>
        </w:rPr>
        <w:t>2019届毕业生认为重要性占比</w:t>
      </w:r>
      <w:r>
        <w:t>排名前</w:t>
      </w:r>
      <w:r>
        <w:rPr>
          <w:rFonts w:hint="eastAsia"/>
        </w:rPr>
        <w:t>十</w:t>
      </w:r>
      <w:r>
        <w:t>位的</w:t>
      </w:r>
      <w:r>
        <w:rPr>
          <w:rFonts w:hint="eastAsia"/>
        </w:rPr>
        <w:t>基础</w:t>
      </w:r>
      <w:r>
        <w:t>能力</w:t>
      </w:r>
      <w:r>
        <w:rPr>
          <w:rFonts w:hint="eastAsia"/>
        </w:rPr>
        <w:t>及其水平</w:t>
      </w:r>
      <w:bookmarkEnd w:id="231"/>
      <w:bookmarkEnd w:id="232"/>
    </w:p>
    <w:p>
      <w:pPr>
        <w:pStyle w:val="136"/>
        <w:spacing w:line="240" w:lineRule="auto"/>
        <w:ind w:firstLine="360"/>
        <w:jc w:val="left"/>
        <w:rPr>
          <w:rFonts w:cs="Times New Roman"/>
          <w:color w:val="4472C4" w:themeColor="accent1"/>
          <w:sz w:val="18"/>
          <w:szCs w:val="18"/>
          <w:lang w:val="zh-CN"/>
          <w14:textFill>
            <w14:solidFill>
              <w14:schemeClr w14:val="accent1"/>
            </w14:solidFill>
          </w14:textFill>
        </w:rPr>
      </w:pPr>
      <w:r>
        <w:rPr>
          <w:rFonts w:hint="eastAsia" w:cs="Times New Roman"/>
          <w:color w:val="4472C4" w:themeColor="accent1"/>
          <w:sz w:val="18"/>
          <w:szCs w:val="18"/>
          <w:lang w:val="zh-CN"/>
          <w14:textFill>
            <w14:solidFill>
              <w14:schemeClr w14:val="accent1"/>
            </w14:solidFill>
          </w14:textFill>
        </w:rPr>
        <w:t>注</w:t>
      </w:r>
      <w:r>
        <w:rPr>
          <w:rFonts w:cs="Times New Roman"/>
          <w:color w:val="4472C4" w:themeColor="accent1"/>
          <w:sz w:val="18"/>
          <w:szCs w:val="18"/>
          <w:lang w:val="zh-CN"/>
          <w14:textFill>
            <w14:solidFill>
              <w14:schemeClr w14:val="accent1"/>
            </w14:solidFill>
          </w14:textFill>
        </w:rPr>
        <w:t>：</w:t>
      </w:r>
      <w:r>
        <w:rPr>
          <w:rFonts w:hint="eastAsia" w:cs="Times New Roman"/>
          <w:color w:val="4472C4" w:themeColor="accent1"/>
          <w:sz w:val="18"/>
          <w:szCs w:val="18"/>
          <w:lang w:val="zh-CN"/>
          <w14:textFill>
            <w14:solidFill>
              <w14:schemeClr w14:val="accent1"/>
            </w14:solidFill>
          </w14:textFill>
        </w:rPr>
        <w:t>坐标轴</w:t>
      </w:r>
      <w:r>
        <w:rPr>
          <w:rFonts w:cs="Times New Roman"/>
          <w:color w:val="4472C4" w:themeColor="accent1"/>
          <w:sz w:val="18"/>
          <w:szCs w:val="18"/>
          <w:lang w:val="zh-CN"/>
          <w14:textFill>
            <w14:solidFill>
              <w14:schemeClr w14:val="accent1"/>
            </w14:solidFill>
          </w14:textFill>
        </w:rPr>
        <w:t>交点为</w:t>
      </w:r>
      <w:r>
        <w:rPr>
          <w:rFonts w:hint="eastAsia" w:cs="Times New Roman"/>
          <w:color w:val="4472C4" w:themeColor="accent1"/>
          <w:sz w:val="18"/>
          <w:szCs w:val="18"/>
          <w:lang w:val="zh-CN"/>
          <w14:textFill>
            <w14:solidFill>
              <w14:schemeClr w14:val="accent1"/>
            </w14:solidFill>
          </w14:textFill>
        </w:rPr>
        <w:t>（</w:t>
      </w:r>
      <w:r>
        <w:rPr>
          <w:rFonts w:cs="Times New Roman"/>
          <w:color w:val="4472C4" w:themeColor="accent1"/>
          <w:sz w:val="18"/>
          <w:szCs w:val="18"/>
          <w:lang w:val="zh-CN"/>
          <w14:textFill>
            <w14:solidFill>
              <w14:schemeClr w14:val="accent1"/>
            </w14:solidFill>
          </w14:textFill>
        </w:rPr>
        <w:t>0.38，3.59</w:t>
      </w:r>
      <w:r>
        <w:rPr>
          <w:rFonts w:hint="eastAsia" w:cs="Times New Roman"/>
          <w:color w:val="4472C4" w:themeColor="accent1"/>
          <w:sz w:val="18"/>
          <w:szCs w:val="18"/>
          <w:lang w:val="zh-CN"/>
          <w14:textFill>
            <w14:solidFill>
              <w14:schemeClr w14:val="accent1"/>
            </w14:solidFill>
          </w14:textFill>
        </w:rPr>
        <w:t>）。</w:t>
      </w:r>
    </w:p>
    <w:p>
      <w:pPr>
        <w:pStyle w:val="119"/>
        <w:ind w:firstLine="360"/>
        <w:rPr>
          <w:color w:val="4472C4" w:themeColor="accent1"/>
          <w14:textFill>
            <w14:solidFill>
              <w14:schemeClr w14:val="accent1"/>
            </w14:solidFill>
          </w14:textFill>
        </w:rPr>
      </w:pPr>
      <w:r>
        <w:rPr>
          <w:rFonts w:hint="eastAsia"/>
          <w:color w:val="4472C4" w:themeColor="accent1"/>
          <w14:textFill>
            <w14:solidFill>
              <w14:schemeClr w14:val="accent1"/>
            </w14:solidFill>
          </w14:textFill>
        </w:rPr>
        <w:t>数据来源：第三方机构新锦成</w:t>
      </w:r>
      <w:r>
        <w:rPr>
          <w:color w:val="4472C4" w:themeColor="accent1"/>
          <w14:textFill>
            <w14:solidFill>
              <w14:schemeClr w14:val="accent1"/>
            </w14:solidFill>
          </w14:textFill>
        </w:rPr>
        <w:t>-2019届</w:t>
      </w:r>
      <w:r>
        <w:rPr>
          <w:rFonts w:hint="eastAsia"/>
          <w:color w:val="4472C4" w:themeColor="accent1"/>
          <w14:textFill>
            <w14:solidFill>
              <w14:schemeClr w14:val="accent1"/>
            </w14:solidFill>
          </w14:textFill>
        </w:rPr>
        <w:t>毕业生就业与培养质量调查。</w:t>
      </w:r>
    </w:p>
    <w:p>
      <w:pPr>
        <w:pStyle w:val="203"/>
        <w:spacing w:before="0" w:beforeLines="0" w:after="0" w:afterLines="0"/>
      </w:pPr>
      <w:bookmarkStart w:id="233" w:name="_Toc27002330"/>
      <w:bookmarkStart w:id="234" w:name="_Toc16673968"/>
      <w:r>
        <w:rPr>
          <w:rFonts w:hint="eastAsia"/>
        </w:rPr>
        <w:t xml:space="preserve">表5- </w:t>
      </w:r>
      <w:r>
        <w:fldChar w:fldCharType="begin"/>
      </w:r>
      <w:r>
        <w:instrText xml:space="preserve"> </w:instrText>
      </w:r>
      <w:r>
        <w:rPr>
          <w:rFonts w:hint="eastAsia"/>
        </w:rPr>
        <w:instrText xml:space="preserve">SEQ 表5- \* ARABIC</w:instrText>
      </w:r>
      <w:r>
        <w:instrText xml:space="preserve"> </w:instrText>
      </w:r>
      <w:r>
        <w:fldChar w:fldCharType="separate"/>
      </w:r>
      <w:r>
        <w:t>1</w:t>
      </w:r>
      <w:r>
        <w:fldChar w:fldCharType="end"/>
      </w:r>
      <w:r>
        <w:t xml:space="preserve">  </w:t>
      </w:r>
      <w:r>
        <w:rPr>
          <w:rFonts w:hint="eastAsia"/>
        </w:rPr>
        <w:t>2019届毕业生认为重要性占比</w:t>
      </w:r>
      <w:r>
        <w:t>排名前</w:t>
      </w:r>
      <w:r>
        <w:rPr>
          <w:rFonts w:hint="eastAsia"/>
        </w:rPr>
        <w:t>十</w:t>
      </w:r>
      <w:r>
        <w:t>位的</w:t>
      </w:r>
      <w:r>
        <w:rPr>
          <w:rFonts w:hint="eastAsia"/>
        </w:rPr>
        <w:t>基础</w:t>
      </w:r>
      <w:r>
        <w:t>能力</w:t>
      </w:r>
      <w:r>
        <w:rPr>
          <w:rFonts w:hint="eastAsia"/>
        </w:rPr>
        <w:t>及其水平</w:t>
      </w:r>
      <w:bookmarkEnd w:id="233"/>
      <w:bookmarkEnd w:id="234"/>
    </w:p>
    <w:tbl>
      <w:tblPr>
        <w:tblStyle w:val="212"/>
        <w:tblW w:w="4858" w:type="pct"/>
        <w:jc w:val="center"/>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Layout w:type="fixed"/>
        <w:tblCellMar>
          <w:top w:w="0" w:type="dxa"/>
          <w:left w:w="108" w:type="dxa"/>
          <w:bottom w:w="0" w:type="dxa"/>
          <w:right w:w="108" w:type="dxa"/>
        </w:tblCellMar>
      </w:tblPr>
      <w:tblGrid>
        <w:gridCol w:w="2916"/>
        <w:gridCol w:w="2916"/>
        <w:gridCol w:w="2915"/>
      </w:tblGrid>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108" w:type="dxa"/>
            <w:bottom w:w="0" w:type="dxa"/>
            <w:right w:w="108" w:type="dxa"/>
          </w:tblCellMar>
        </w:tblPrEx>
        <w:trPr>
          <w:trHeight w:val="283" w:hRule="atLeast"/>
          <w:tblHeader/>
          <w:jc w:val="center"/>
        </w:trPr>
        <w:tc>
          <w:tcPr>
            <w:tcW w:w="1667" w:type="pct"/>
            <w:tcBorders>
              <w:top w:val="nil"/>
              <w:left w:val="nil"/>
              <w:bottom w:val="nil"/>
              <w:right w:val="nil"/>
              <w:insideV w:val="nil"/>
            </w:tcBorders>
            <w:shd w:val="clear" w:color="auto" w:fill="4472C4" w:themeFill="accent1"/>
            <w:noWrap/>
            <w:vAlign w:val="center"/>
          </w:tcPr>
          <w:p>
            <w:pPr>
              <w:spacing w:before="0"/>
              <w:jc w:val="center"/>
              <w:rPr>
                <w:rFonts w:ascii="Times New Roman" w:hAnsi="Times New Roman" w:eastAsiaTheme="minorEastAsia" w:cstheme="minorBidi"/>
                <w:b/>
                <w:bCs/>
                <w:color w:val="FFFFFF" w:themeColor="background1"/>
                <w:sz w:val="21"/>
                <w:szCs w:val="21"/>
                <w14:textFill>
                  <w14:solidFill>
                    <w14:schemeClr w14:val="bg1"/>
                  </w14:solidFill>
                </w14:textFill>
              </w:rPr>
            </w:pPr>
            <w:r>
              <w:rPr>
                <w:rFonts w:hint="eastAsia" w:ascii="Times New Roman" w:hAnsi="Times New Roman" w:cs="Calibri" w:eastAsiaTheme="minorEastAsia"/>
                <w:b/>
                <w:bCs w:val="0"/>
                <w:color w:val="FFFFFF"/>
                <w:sz w:val="21"/>
                <w:szCs w:val="21"/>
              </w:rPr>
              <w:t>基础能力</w:t>
            </w:r>
          </w:p>
        </w:tc>
        <w:tc>
          <w:tcPr>
            <w:tcW w:w="1667" w:type="pct"/>
            <w:tcBorders>
              <w:top w:val="nil"/>
              <w:left w:val="nil"/>
              <w:bottom w:val="nil"/>
              <w:right w:val="nil"/>
              <w:insideV w:val="nil"/>
            </w:tcBorders>
            <w:shd w:val="clear" w:color="auto" w:fill="4472C4" w:themeFill="accent1"/>
            <w:noWrap/>
            <w:vAlign w:val="center"/>
          </w:tcPr>
          <w:p>
            <w:pPr>
              <w:spacing w:before="0"/>
              <w:jc w:val="center"/>
              <w:rPr>
                <w:rFonts w:ascii="Times New Roman" w:hAnsi="Times New Roman" w:eastAsiaTheme="minorEastAsia" w:cstheme="minorBidi"/>
                <w:b/>
                <w:bCs/>
                <w:color w:val="FFFFFF" w:themeColor="background1"/>
                <w:sz w:val="21"/>
                <w:szCs w:val="21"/>
                <w14:textFill>
                  <w14:solidFill>
                    <w14:schemeClr w14:val="bg1"/>
                  </w14:solidFill>
                </w14:textFill>
              </w:rPr>
            </w:pPr>
            <w:r>
              <w:rPr>
                <w:rFonts w:hint="eastAsia" w:ascii="Times New Roman" w:hAnsi="Times New Roman" w:cs="Calibri" w:eastAsiaTheme="minorEastAsia"/>
                <w:b/>
                <w:bCs w:val="0"/>
                <w:color w:val="FFFFFF"/>
                <w:sz w:val="21"/>
                <w:szCs w:val="21"/>
              </w:rPr>
              <w:t>重要度</w:t>
            </w:r>
          </w:p>
        </w:tc>
        <w:tc>
          <w:tcPr>
            <w:tcW w:w="1667" w:type="pct"/>
            <w:tcBorders>
              <w:top w:val="nil"/>
              <w:left w:val="nil"/>
              <w:bottom w:val="nil"/>
              <w:right w:val="nil"/>
              <w:insideV w:val="nil"/>
            </w:tcBorders>
            <w:shd w:val="clear" w:color="auto" w:fill="4472C4" w:themeFill="accent1"/>
            <w:vAlign w:val="center"/>
          </w:tcPr>
          <w:p>
            <w:pPr>
              <w:spacing w:before="0"/>
              <w:jc w:val="center"/>
              <w:rPr>
                <w:rFonts w:ascii="Times New Roman" w:hAnsi="Times New Roman" w:eastAsiaTheme="minorEastAsia" w:cstheme="minorBidi"/>
                <w:b/>
                <w:bCs/>
                <w:color w:val="FFFFFF" w:themeColor="background1"/>
                <w:sz w:val="21"/>
                <w:szCs w:val="21"/>
                <w14:textFill>
                  <w14:solidFill>
                    <w14:schemeClr w14:val="bg1"/>
                  </w14:solidFill>
                </w14:textFill>
              </w:rPr>
            </w:pPr>
            <w:r>
              <w:rPr>
                <w:rFonts w:hint="eastAsia" w:ascii="Times New Roman" w:hAnsi="Times New Roman" w:cs="Calibri" w:eastAsiaTheme="minorEastAsia"/>
                <w:b/>
                <w:bCs w:val="0"/>
                <w:color w:val="FFFFFF"/>
                <w:sz w:val="21"/>
                <w:szCs w:val="21"/>
              </w:rPr>
              <w:t>水平</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108" w:type="dxa"/>
            <w:bottom w:w="0" w:type="dxa"/>
            <w:right w:w="108" w:type="dxa"/>
          </w:tblCellMar>
        </w:tblPrEx>
        <w:trPr>
          <w:trHeight w:val="283" w:hRule="atLeast"/>
          <w:jc w:val="center"/>
        </w:trPr>
        <w:tc>
          <w:tcPr>
            <w:tcW w:w="1667" w:type="pct"/>
            <w:shd w:val="clear" w:color="auto" w:fill="D9E2F3" w:themeFill="accent1" w:themeFillTint="33"/>
            <w:noWrap/>
            <w:vAlign w:val="top"/>
          </w:tcPr>
          <w:p>
            <w:pPr>
              <w:spacing w:before="0"/>
              <w:jc w:val="center"/>
              <w:rPr>
                <w:rFonts w:ascii="Times New Roman" w:hAnsi="Times New Roman" w:eastAsiaTheme="minorEastAsia" w:cstheme="minorBidi"/>
                <w:b w:val="0"/>
                <w:bCs/>
                <w:color w:val="000000" w:themeColor="text1"/>
                <w:sz w:val="21"/>
                <w:szCs w:val="21"/>
                <w14:textFill>
                  <w14:solidFill>
                    <w14:schemeClr w14:val="tx1"/>
                  </w14:solidFill>
                </w14:textFill>
              </w:rPr>
            </w:pPr>
            <w:r>
              <w:rPr>
                <w:rFonts w:hint="eastAsia" w:eastAsiaTheme="minorEastAsia" w:cstheme="minorBidi"/>
                <w:b w:val="0"/>
                <w:bCs/>
                <w:sz w:val="21"/>
              </w:rPr>
              <w:t>逻辑思维</w:t>
            </w:r>
          </w:p>
        </w:tc>
        <w:tc>
          <w:tcPr>
            <w:tcW w:w="1667" w:type="pct"/>
            <w:shd w:val="clear" w:color="auto" w:fill="D9E2F3" w:themeFill="accent1" w:themeFillTint="33"/>
            <w:noWrap/>
            <w:vAlign w:val="top"/>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sz w:val="21"/>
                <w:szCs w:val="21"/>
              </w:rPr>
              <w:t>59.70%</w:t>
            </w:r>
          </w:p>
        </w:tc>
        <w:tc>
          <w:tcPr>
            <w:tcW w:w="1667" w:type="pct"/>
            <w:shd w:val="clear" w:color="auto" w:fill="D9E2F3" w:themeFill="accent1" w:themeFillTint="33"/>
            <w:vAlign w:val="top"/>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sz w:val="21"/>
                <w:szCs w:val="21"/>
              </w:rPr>
              <w:t>3.72</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108" w:type="dxa"/>
            <w:bottom w:w="0" w:type="dxa"/>
            <w:right w:w="108" w:type="dxa"/>
          </w:tblCellMar>
        </w:tblPrEx>
        <w:trPr>
          <w:trHeight w:val="283" w:hRule="atLeast"/>
          <w:jc w:val="center"/>
        </w:trPr>
        <w:tc>
          <w:tcPr>
            <w:tcW w:w="1667" w:type="pct"/>
            <w:shd w:val="clear" w:color="auto" w:fill="FFFFFF" w:themeFill="background1"/>
            <w:noWrap/>
            <w:vAlign w:val="top"/>
          </w:tcPr>
          <w:p>
            <w:pPr>
              <w:spacing w:before="0"/>
              <w:jc w:val="center"/>
              <w:rPr>
                <w:rFonts w:ascii="Times New Roman" w:hAnsi="Times New Roman" w:eastAsiaTheme="minorEastAsia" w:cstheme="minorBidi"/>
                <w:b w:val="0"/>
                <w:bCs/>
                <w:color w:val="000000" w:themeColor="text1"/>
                <w:sz w:val="21"/>
                <w:szCs w:val="21"/>
                <w14:textFill>
                  <w14:solidFill>
                    <w14:schemeClr w14:val="tx1"/>
                  </w14:solidFill>
                </w14:textFill>
              </w:rPr>
            </w:pPr>
            <w:r>
              <w:rPr>
                <w:rFonts w:hint="eastAsia" w:eastAsiaTheme="minorEastAsia" w:cstheme="minorBidi"/>
                <w:b w:val="0"/>
                <w:bCs/>
                <w:sz w:val="21"/>
              </w:rPr>
              <w:t>表达能力</w:t>
            </w:r>
          </w:p>
        </w:tc>
        <w:tc>
          <w:tcPr>
            <w:tcW w:w="1667" w:type="pct"/>
            <w:noWrap/>
            <w:vAlign w:val="top"/>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sz w:val="21"/>
                <w:szCs w:val="21"/>
              </w:rPr>
              <w:t>51.08%</w:t>
            </w:r>
          </w:p>
        </w:tc>
        <w:tc>
          <w:tcPr>
            <w:tcW w:w="1667" w:type="pct"/>
            <w:vAlign w:val="top"/>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sz w:val="21"/>
                <w:szCs w:val="21"/>
              </w:rPr>
              <w:t>2.88</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108" w:type="dxa"/>
            <w:bottom w:w="0" w:type="dxa"/>
            <w:right w:w="108" w:type="dxa"/>
          </w:tblCellMar>
        </w:tblPrEx>
        <w:trPr>
          <w:trHeight w:val="283" w:hRule="atLeast"/>
          <w:jc w:val="center"/>
        </w:trPr>
        <w:tc>
          <w:tcPr>
            <w:tcW w:w="1667" w:type="pct"/>
            <w:shd w:val="clear" w:color="auto" w:fill="D9E2F3" w:themeFill="accent1" w:themeFillTint="33"/>
            <w:noWrap/>
            <w:vAlign w:val="top"/>
          </w:tcPr>
          <w:p>
            <w:pPr>
              <w:spacing w:before="0"/>
              <w:jc w:val="center"/>
              <w:rPr>
                <w:rFonts w:ascii="Times New Roman" w:hAnsi="Times New Roman" w:eastAsiaTheme="minorEastAsia" w:cstheme="minorBidi"/>
                <w:b w:val="0"/>
                <w:bCs/>
                <w:color w:val="000000" w:themeColor="text1"/>
                <w:sz w:val="21"/>
                <w:szCs w:val="21"/>
                <w14:textFill>
                  <w14:solidFill>
                    <w14:schemeClr w14:val="tx1"/>
                  </w14:solidFill>
                </w14:textFill>
              </w:rPr>
            </w:pPr>
            <w:r>
              <w:rPr>
                <w:rFonts w:hint="eastAsia" w:eastAsiaTheme="minorEastAsia" w:cstheme="minorBidi"/>
                <w:b w:val="0"/>
                <w:bCs/>
                <w:sz w:val="21"/>
              </w:rPr>
              <w:t>善于观察</w:t>
            </w:r>
          </w:p>
        </w:tc>
        <w:tc>
          <w:tcPr>
            <w:tcW w:w="1667" w:type="pct"/>
            <w:shd w:val="clear" w:color="auto" w:fill="D9E2F3" w:themeFill="accent1" w:themeFillTint="33"/>
            <w:noWrap/>
            <w:vAlign w:val="top"/>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sz w:val="21"/>
                <w:szCs w:val="21"/>
              </w:rPr>
              <w:t>48.10%</w:t>
            </w:r>
          </w:p>
        </w:tc>
        <w:tc>
          <w:tcPr>
            <w:tcW w:w="1667" w:type="pct"/>
            <w:shd w:val="clear" w:color="auto" w:fill="D9E2F3" w:themeFill="accent1" w:themeFillTint="33"/>
            <w:vAlign w:val="top"/>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sz w:val="21"/>
                <w:szCs w:val="21"/>
              </w:rPr>
              <w:t>3.96</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108" w:type="dxa"/>
            <w:bottom w:w="0" w:type="dxa"/>
            <w:right w:w="108" w:type="dxa"/>
          </w:tblCellMar>
        </w:tblPrEx>
        <w:trPr>
          <w:trHeight w:val="283" w:hRule="atLeast"/>
          <w:jc w:val="center"/>
        </w:trPr>
        <w:tc>
          <w:tcPr>
            <w:tcW w:w="1667" w:type="pct"/>
            <w:shd w:val="clear" w:color="auto" w:fill="FFFFFF" w:themeFill="background1"/>
            <w:noWrap/>
            <w:vAlign w:val="top"/>
          </w:tcPr>
          <w:p>
            <w:pPr>
              <w:spacing w:before="0"/>
              <w:jc w:val="center"/>
              <w:rPr>
                <w:rFonts w:ascii="Times New Roman" w:hAnsi="Times New Roman" w:eastAsiaTheme="minorEastAsia" w:cstheme="minorBidi"/>
                <w:b w:val="0"/>
                <w:bCs/>
                <w:color w:val="000000" w:themeColor="text1"/>
                <w:sz w:val="21"/>
                <w:szCs w:val="21"/>
                <w14:textFill>
                  <w14:solidFill>
                    <w14:schemeClr w14:val="tx1"/>
                  </w14:solidFill>
                </w14:textFill>
              </w:rPr>
            </w:pPr>
            <w:r>
              <w:rPr>
                <w:rFonts w:hint="eastAsia" w:eastAsiaTheme="minorEastAsia" w:cstheme="minorBidi"/>
                <w:b w:val="0"/>
                <w:bCs/>
                <w:sz w:val="21"/>
              </w:rPr>
              <w:t>创新思维</w:t>
            </w:r>
          </w:p>
        </w:tc>
        <w:tc>
          <w:tcPr>
            <w:tcW w:w="1667" w:type="pct"/>
            <w:noWrap/>
            <w:vAlign w:val="top"/>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sz w:val="21"/>
                <w:szCs w:val="21"/>
              </w:rPr>
              <w:t>45.00%</w:t>
            </w:r>
          </w:p>
        </w:tc>
        <w:tc>
          <w:tcPr>
            <w:tcW w:w="1667" w:type="pct"/>
            <w:vAlign w:val="top"/>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sz w:val="21"/>
                <w:szCs w:val="21"/>
              </w:rPr>
              <w:t>3.36</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108" w:type="dxa"/>
            <w:bottom w:w="0" w:type="dxa"/>
            <w:right w:w="108" w:type="dxa"/>
          </w:tblCellMar>
        </w:tblPrEx>
        <w:trPr>
          <w:trHeight w:val="283" w:hRule="atLeast"/>
          <w:jc w:val="center"/>
        </w:trPr>
        <w:tc>
          <w:tcPr>
            <w:tcW w:w="1667" w:type="pct"/>
            <w:shd w:val="clear" w:color="auto" w:fill="D9E2F3" w:themeFill="accent1" w:themeFillTint="33"/>
            <w:noWrap/>
            <w:vAlign w:val="top"/>
          </w:tcPr>
          <w:p>
            <w:pPr>
              <w:spacing w:before="0"/>
              <w:jc w:val="center"/>
              <w:rPr>
                <w:rFonts w:ascii="Times New Roman" w:hAnsi="Times New Roman" w:eastAsiaTheme="minorEastAsia" w:cstheme="minorBidi"/>
                <w:b w:val="0"/>
                <w:bCs/>
                <w:color w:val="000000" w:themeColor="text1"/>
                <w:sz w:val="21"/>
                <w:szCs w:val="21"/>
                <w14:textFill>
                  <w14:solidFill>
                    <w14:schemeClr w14:val="tx1"/>
                  </w14:solidFill>
                </w14:textFill>
              </w:rPr>
            </w:pPr>
            <w:r>
              <w:rPr>
                <w:rFonts w:hint="eastAsia" w:eastAsiaTheme="minorEastAsia" w:cstheme="minorBidi"/>
                <w:b w:val="0"/>
                <w:bCs/>
                <w:sz w:val="21"/>
              </w:rPr>
              <w:t>记忆能力</w:t>
            </w:r>
          </w:p>
        </w:tc>
        <w:tc>
          <w:tcPr>
            <w:tcW w:w="1667" w:type="pct"/>
            <w:shd w:val="clear" w:color="auto" w:fill="D9E2F3" w:themeFill="accent1" w:themeFillTint="33"/>
            <w:noWrap/>
            <w:vAlign w:val="top"/>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sz w:val="21"/>
                <w:szCs w:val="21"/>
              </w:rPr>
              <w:t>38.88%</w:t>
            </w:r>
          </w:p>
        </w:tc>
        <w:tc>
          <w:tcPr>
            <w:tcW w:w="1667" w:type="pct"/>
            <w:shd w:val="clear" w:color="auto" w:fill="D9E2F3" w:themeFill="accent1" w:themeFillTint="33"/>
            <w:vAlign w:val="top"/>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sz w:val="21"/>
                <w:szCs w:val="21"/>
              </w:rPr>
              <w:t>3.10</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108" w:type="dxa"/>
            <w:bottom w:w="0" w:type="dxa"/>
            <w:right w:w="108" w:type="dxa"/>
          </w:tblCellMar>
        </w:tblPrEx>
        <w:trPr>
          <w:trHeight w:val="283" w:hRule="atLeast"/>
          <w:jc w:val="center"/>
        </w:trPr>
        <w:tc>
          <w:tcPr>
            <w:tcW w:w="1667" w:type="pct"/>
            <w:shd w:val="clear" w:color="auto" w:fill="FFFFFF" w:themeFill="background1"/>
            <w:noWrap/>
            <w:vAlign w:val="top"/>
          </w:tcPr>
          <w:p>
            <w:pPr>
              <w:spacing w:before="0"/>
              <w:jc w:val="center"/>
              <w:rPr>
                <w:rFonts w:ascii="Times New Roman" w:hAnsi="Times New Roman" w:eastAsiaTheme="minorEastAsia" w:cstheme="minorBidi"/>
                <w:b w:val="0"/>
                <w:bCs/>
                <w:color w:val="000000" w:themeColor="text1"/>
                <w:sz w:val="21"/>
                <w:szCs w:val="21"/>
                <w14:textFill>
                  <w14:solidFill>
                    <w14:schemeClr w14:val="tx1"/>
                  </w14:solidFill>
                </w14:textFill>
              </w:rPr>
            </w:pPr>
            <w:r>
              <w:rPr>
                <w:rFonts w:hint="eastAsia" w:eastAsiaTheme="minorEastAsia" w:cstheme="minorBidi"/>
                <w:b w:val="0"/>
                <w:bCs/>
                <w:sz w:val="21"/>
              </w:rPr>
              <w:t>团队意识</w:t>
            </w:r>
          </w:p>
        </w:tc>
        <w:tc>
          <w:tcPr>
            <w:tcW w:w="1667" w:type="pct"/>
            <w:noWrap/>
            <w:vAlign w:val="top"/>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sz w:val="21"/>
                <w:szCs w:val="21"/>
              </w:rPr>
              <w:t>33.79%</w:t>
            </w:r>
          </w:p>
        </w:tc>
        <w:tc>
          <w:tcPr>
            <w:tcW w:w="1667" w:type="pct"/>
            <w:vAlign w:val="top"/>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sz w:val="21"/>
                <w:szCs w:val="21"/>
              </w:rPr>
              <w:t>4.30</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108" w:type="dxa"/>
            <w:bottom w:w="0" w:type="dxa"/>
            <w:right w:w="108" w:type="dxa"/>
          </w:tblCellMar>
        </w:tblPrEx>
        <w:trPr>
          <w:trHeight w:val="283" w:hRule="atLeast"/>
          <w:jc w:val="center"/>
        </w:trPr>
        <w:tc>
          <w:tcPr>
            <w:tcW w:w="1667" w:type="pct"/>
            <w:shd w:val="clear" w:color="auto" w:fill="D9E2F3" w:themeFill="accent1" w:themeFillTint="33"/>
            <w:noWrap/>
            <w:vAlign w:val="top"/>
          </w:tcPr>
          <w:p>
            <w:pPr>
              <w:spacing w:before="0"/>
              <w:jc w:val="center"/>
              <w:rPr>
                <w:rFonts w:ascii="Times New Roman" w:hAnsi="Times New Roman" w:eastAsiaTheme="minorEastAsia" w:cstheme="minorBidi"/>
                <w:b w:val="0"/>
                <w:bCs/>
                <w:color w:val="000000" w:themeColor="text1"/>
                <w:sz w:val="21"/>
                <w:szCs w:val="21"/>
                <w14:textFill>
                  <w14:solidFill>
                    <w14:schemeClr w14:val="tx1"/>
                  </w14:solidFill>
                </w14:textFill>
              </w:rPr>
            </w:pPr>
            <w:r>
              <w:rPr>
                <w:rFonts w:hint="eastAsia" w:eastAsiaTheme="minorEastAsia" w:cstheme="minorBidi"/>
                <w:b w:val="0"/>
                <w:bCs/>
                <w:sz w:val="21"/>
              </w:rPr>
              <w:t>阅读理解</w:t>
            </w:r>
          </w:p>
        </w:tc>
        <w:tc>
          <w:tcPr>
            <w:tcW w:w="1667" w:type="pct"/>
            <w:shd w:val="clear" w:color="auto" w:fill="D9E2F3" w:themeFill="accent1" w:themeFillTint="33"/>
            <w:noWrap/>
            <w:vAlign w:val="top"/>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sz w:val="21"/>
                <w:szCs w:val="21"/>
              </w:rPr>
              <w:t>26.42%</w:t>
            </w:r>
          </w:p>
        </w:tc>
        <w:tc>
          <w:tcPr>
            <w:tcW w:w="1667" w:type="pct"/>
            <w:shd w:val="clear" w:color="auto" w:fill="D9E2F3" w:themeFill="accent1" w:themeFillTint="33"/>
            <w:vAlign w:val="top"/>
          </w:tcPr>
          <w:p>
            <w:pPr>
              <w:spacing w:before="0"/>
              <w:jc w:val="center"/>
              <w:rPr>
                <w:rFonts w:ascii="Times New Roman" w:hAnsi="Times New Roman" w:eastAsiaTheme="minorEastAsia" w:cstheme="minorBidi"/>
                <w:color w:val="000000"/>
                <w:sz w:val="21"/>
                <w:szCs w:val="21"/>
              </w:rPr>
            </w:pPr>
            <w:r>
              <w:rPr>
                <w:rFonts w:ascii="Times New Roman" w:hAnsi="Times New Roman" w:eastAsiaTheme="minorEastAsia" w:cstheme="minorBidi"/>
                <w:sz w:val="21"/>
                <w:szCs w:val="21"/>
              </w:rPr>
              <w:t>3.92</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108" w:type="dxa"/>
            <w:bottom w:w="0" w:type="dxa"/>
            <w:right w:w="108" w:type="dxa"/>
          </w:tblCellMar>
        </w:tblPrEx>
        <w:trPr>
          <w:trHeight w:val="283" w:hRule="atLeast"/>
          <w:jc w:val="center"/>
        </w:trPr>
        <w:tc>
          <w:tcPr>
            <w:tcW w:w="1667" w:type="pct"/>
            <w:shd w:val="clear" w:color="auto" w:fill="FFFFFF" w:themeFill="background1"/>
            <w:noWrap/>
            <w:vAlign w:val="top"/>
          </w:tcPr>
          <w:p>
            <w:pPr>
              <w:spacing w:before="0"/>
              <w:jc w:val="center"/>
              <w:rPr>
                <w:rFonts w:eastAsiaTheme="minorEastAsia" w:cstheme="minorBidi"/>
                <w:b w:val="0"/>
                <w:bCs/>
                <w:color w:val="000000" w:themeColor="text1"/>
                <w:sz w:val="21"/>
                <w:szCs w:val="21"/>
                <w14:textFill>
                  <w14:solidFill>
                    <w14:schemeClr w14:val="tx1"/>
                  </w14:solidFill>
                </w14:textFill>
              </w:rPr>
            </w:pPr>
            <w:r>
              <w:rPr>
                <w:rFonts w:hint="eastAsia" w:eastAsiaTheme="minorEastAsia" w:cstheme="minorBidi"/>
                <w:b w:val="0"/>
                <w:bCs/>
                <w:sz w:val="21"/>
              </w:rPr>
              <w:t>主动学习</w:t>
            </w:r>
          </w:p>
        </w:tc>
        <w:tc>
          <w:tcPr>
            <w:tcW w:w="1667" w:type="pct"/>
            <w:noWrap/>
            <w:vAlign w:val="top"/>
          </w:tcPr>
          <w:p>
            <w:pPr>
              <w:spacing w:before="0"/>
              <w:jc w:val="center"/>
              <w:rPr>
                <w:rFonts w:ascii="Times New Roman" w:hAnsi="Times New Roman" w:eastAsia="等线" w:cstheme="minorBidi"/>
                <w:color w:val="000000"/>
                <w:sz w:val="21"/>
                <w:szCs w:val="21"/>
              </w:rPr>
            </w:pPr>
            <w:r>
              <w:rPr>
                <w:rFonts w:ascii="Times New Roman" w:hAnsi="Times New Roman" w:eastAsiaTheme="minorEastAsia" w:cstheme="minorBidi"/>
                <w:sz w:val="21"/>
                <w:szCs w:val="21"/>
              </w:rPr>
              <w:t>24.35%</w:t>
            </w:r>
          </w:p>
        </w:tc>
        <w:tc>
          <w:tcPr>
            <w:tcW w:w="1667" w:type="pct"/>
            <w:vAlign w:val="top"/>
          </w:tcPr>
          <w:p>
            <w:pPr>
              <w:spacing w:before="0"/>
              <w:jc w:val="center"/>
              <w:rPr>
                <w:rFonts w:ascii="Times New Roman" w:hAnsi="Times New Roman" w:eastAsia="等线" w:cstheme="minorBidi"/>
                <w:color w:val="000000"/>
                <w:sz w:val="21"/>
                <w:szCs w:val="21"/>
              </w:rPr>
            </w:pPr>
            <w:r>
              <w:rPr>
                <w:rFonts w:ascii="Times New Roman" w:hAnsi="Times New Roman" w:eastAsiaTheme="minorEastAsia" w:cstheme="minorBidi"/>
                <w:sz w:val="21"/>
                <w:szCs w:val="21"/>
              </w:rPr>
              <w:t>4.01</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108" w:type="dxa"/>
            <w:bottom w:w="0" w:type="dxa"/>
            <w:right w:w="108" w:type="dxa"/>
          </w:tblCellMar>
        </w:tblPrEx>
        <w:trPr>
          <w:trHeight w:val="283" w:hRule="atLeast"/>
          <w:jc w:val="center"/>
        </w:trPr>
        <w:tc>
          <w:tcPr>
            <w:tcW w:w="1667" w:type="pct"/>
            <w:shd w:val="clear" w:color="auto" w:fill="D9E2F3" w:themeFill="accent1" w:themeFillTint="33"/>
            <w:noWrap/>
            <w:vAlign w:val="top"/>
          </w:tcPr>
          <w:p>
            <w:pPr>
              <w:spacing w:before="0"/>
              <w:jc w:val="center"/>
              <w:rPr>
                <w:rFonts w:eastAsiaTheme="minorEastAsia" w:cstheme="minorBidi"/>
                <w:b w:val="0"/>
                <w:bCs/>
                <w:color w:val="000000" w:themeColor="text1"/>
                <w:sz w:val="21"/>
                <w:szCs w:val="21"/>
                <w14:textFill>
                  <w14:solidFill>
                    <w14:schemeClr w14:val="tx1"/>
                  </w14:solidFill>
                </w14:textFill>
              </w:rPr>
            </w:pPr>
            <w:r>
              <w:rPr>
                <w:rFonts w:hint="eastAsia" w:eastAsiaTheme="minorEastAsia" w:cstheme="minorBidi"/>
                <w:b w:val="0"/>
                <w:bCs/>
                <w:sz w:val="21"/>
              </w:rPr>
              <w:t>善于倾听</w:t>
            </w:r>
          </w:p>
        </w:tc>
        <w:tc>
          <w:tcPr>
            <w:tcW w:w="1667" w:type="pct"/>
            <w:shd w:val="clear" w:color="auto" w:fill="D9E2F3" w:themeFill="accent1" w:themeFillTint="33"/>
            <w:noWrap/>
            <w:vAlign w:val="top"/>
          </w:tcPr>
          <w:p>
            <w:pPr>
              <w:spacing w:before="0"/>
              <w:jc w:val="center"/>
              <w:rPr>
                <w:rFonts w:ascii="Times New Roman" w:hAnsi="Times New Roman" w:eastAsia="等线" w:cstheme="minorBidi"/>
                <w:color w:val="000000"/>
                <w:sz w:val="21"/>
                <w:szCs w:val="21"/>
              </w:rPr>
            </w:pPr>
            <w:r>
              <w:rPr>
                <w:rFonts w:ascii="Times New Roman" w:hAnsi="Times New Roman" w:eastAsiaTheme="minorEastAsia" w:cstheme="minorBidi"/>
                <w:sz w:val="21"/>
                <w:szCs w:val="21"/>
              </w:rPr>
              <w:t>20.04%</w:t>
            </w:r>
          </w:p>
        </w:tc>
        <w:tc>
          <w:tcPr>
            <w:tcW w:w="1667" w:type="pct"/>
            <w:shd w:val="clear" w:color="auto" w:fill="D9E2F3" w:themeFill="accent1" w:themeFillTint="33"/>
            <w:vAlign w:val="top"/>
          </w:tcPr>
          <w:p>
            <w:pPr>
              <w:spacing w:before="0"/>
              <w:jc w:val="center"/>
              <w:rPr>
                <w:rFonts w:ascii="Times New Roman" w:hAnsi="Times New Roman" w:eastAsia="等线" w:cstheme="minorBidi"/>
                <w:color w:val="000000"/>
                <w:sz w:val="21"/>
                <w:szCs w:val="21"/>
              </w:rPr>
            </w:pPr>
            <w:r>
              <w:rPr>
                <w:rFonts w:ascii="Times New Roman" w:hAnsi="Times New Roman" w:eastAsiaTheme="minorEastAsia" w:cstheme="minorBidi"/>
                <w:sz w:val="21"/>
                <w:szCs w:val="21"/>
              </w:rPr>
              <w:t>3.55</w:t>
            </w:r>
          </w:p>
        </w:tc>
      </w:tr>
      <w:tr>
        <w:tblPrEx>
          <w:tblBorders>
            <w:top w:val="single" w:color="FFFFFF" w:themeColor="background1" w:sz="24" w:space="0"/>
            <w:left w:val="single" w:color="FFFFFF" w:themeColor="background1" w:sz="24" w:space="0"/>
            <w:bottom w:val="single" w:color="FFFFFF" w:themeColor="background1" w:sz="24" w:space="0"/>
            <w:right w:val="single" w:color="FFFFFF" w:themeColor="background1" w:sz="24" w:space="0"/>
            <w:insideH w:val="single" w:color="FFFFFF" w:themeColor="background1" w:sz="24" w:space="0"/>
            <w:insideV w:val="single" w:color="FFFFFF" w:themeColor="background1" w:sz="24" w:space="0"/>
          </w:tblBorders>
          <w:tblCellMar>
            <w:top w:w="0" w:type="dxa"/>
            <w:left w:w="108" w:type="dxa"/>
            <w:bottom w:w="0" w:type="dxa"/>
            <w:right w:w="108" w:type="dxa"/>
          </w:tblCellMar>
        </w:tblPrEx>
        <w:trPr>
          <w:trHeight w:val="283" w:hRule="atLeast"/>
          <w:jc w:val="center"/>
        </w:trPr>
        <w:tc>
          <w:tcPr>
            <w:tcW w:w="1667" w:type="pct"/>
            <w:shd w:val="clear" w:color="auto" w:fill="FFFFFF" w:themeFill="background1"/>
            <w:noWrap/>
            <w:vAlign w:val="top"/>
          </w:tcPr>
          <w:p>
            <w:pPr>
              <w:spacing w:before="0"/>
              <w:jc w:val="center"/>
              <w:rPr>
                <w:rFonts w:eastAsiaTheme="minorEastAsia" w:cstheme="minorBidi"/>
                <w:b w:val="0"/>
                <w:bCs/>
                <w:color w:val="000000" w:themeColor="text1"/>
                <w:sz w:val="21"/>
                <w:szCs w:val="21"/>
                <w14:textFill>
                  <w14:solidFill>
                    <w14:schemeClr w14:val="tx1"/>
                  </w14:solidFill>
                </w14:textFill>
              </w:rPr>
            </w:pPr>
            <w:r>
              <w:rPr>
                <w:rFonts w:hint="eastAsia" w:eastAsiaTheme="minorEastAsia" w:cstheme="minorBidi"/>
                <w:b w:val="0"/>
                <w:bCs/>
                <w:sz w:val="21"/>
              </w:rPr>
              <w:t>数学运算</w:t>
            </w:r>
          </w:p>
        </w:tc>
        <w:tc>
          <w:tcPr>
            <w:tcW w:w="1667" w:type="pct"/>
            <w:noWrap/>
            <w:vAlign w:val="top"/>
          </w:tcPr>
          <w:p>
            <w:pPr>
              <w:spacing w:before="0"/>
              <w:jc w:val="center"/>
              <w:rPr>
                <w:rFonts w:ascii="Times New Roman" w:hAnsi="Times New Roman" w:eastAsia="等线" w:cstheme="minorBidi"/>
                <w:color w:val="000000"/>
                <w:sz w:val="21"/>
                <w:szCs w:val="21"/>
              </w:rPr>
            </w:pPr>
            <w:r>
              <w:rPr>
                <w:rFonts w:ascii="Times New Roman" w:hAnsi="Times New Roman" w:eastAsiaTheme="minorEastAsia" w:cstheme="minorBidi"/>
                <w:sz w:val="21"/>
                <w:szCs w:val="21"/>
              </w:rPr>
              <w:t>17.07%</w:t>
            </w:r>
          </w:p>
        </w:tc>
        <w:tc>
          <w:tcPr>
            <w:tcW w:w="1667" w:type="pct"/>
            <w:vAlign w:val="top"/>
          </w:tcPr>
          <w:p>
            <w:pPr>
              <w:spacing w:before="0"/>
              <w:jc w:val="center"/>
              <w:rPr>
                <w:rFonts w:ascii="Times New Roman" w:hAnsi="Times New Roman" w:eastAsia="等线" w:cstheme="minorBidi"/>
                <w:color w:val="000000"/>
                <w:sz w:val="21"/>
                <w:szCs w:val="21"/>
              </w:rPr>
            </w:pPr>
            <w:r>
              <w:rPr>
                <w:rFonts w:ascii="Times New Roman" w:hAnsi="Times New Roman" w:eastAsiaTheme="minorEastAsia" w:cstheme="minorBidi"/>
                <w:sz w:val="21"/>
                <w:szCs w:val="21"/>
              </w:rPr>
              <w:t>3.66</w:t>
            </w:r>
          </w:p>
        </w:tc>
      </w:tr>
    </w:tbl>
    <w:p>
      <w:pPr>
        <w:pStyle w:val="119"/>
        <w:ind w:firstLine="360"/>
        <w:rPr>
          <w:color w:val="4472C4" w:themeColor="accent1"/>
          <w14:textFill>
            <w14:solidFill>
              <w14:schemeClr w14:val="accent1"/>
            </w14:solidFill>
          </w14:textFill>
        </w:rPr>
      </w:pPr>
      <w:r>
        <w:rPr>
          <w:rFonts w:hint="eastAsia"/>
          <w:color w:val="4472C4" w:themeColor="accent1"/>
          <w14:textFill>
            <w14:solidFill>
              <w14:schemeClr w14:val="accent1"/>
            </w14:solidFill>
          </w14:textFill>
        </w:rPr>
        <w:t>数据来源：第三方机构新锦成</w:t>
      </w:r>
      <w:r>
        <w:rPr>
          <w:color w:val="4472C4" w:themeColor="accent1"/>
          <w14:textFill>
            <w14:solidFill>
              <w14:schemeClr w14:val="accent1"/>
            </w14:solidFill>
          </w14:textFill>
        </w:rPr>
        <w:t>-2019届</w:t>
      </w:r>
      <w:r>
        <w:rPr>
          <w:rFonts w:hint="eastAsia"/>
          <w:color w:val="4472C4" w:themeColor="accent1"/>
          <w14:textFill>
            <w14:solidFill>
              <w14:schemeClr w14:val="accent1"/>
            </w14:solidFill>
          </w14:textFill>
        </w:rPr>
        <w:t>毕业生就业与培养质量调查。</w:t>
      </w:r>
    </w:p>
    <w:p>
      <w:pPr>
        <w:pStyle w:val="136"/>
        <w:spacing w:before="156" w:beforeLines="50" w:after="156" w:afterLines="50"/>
        <w:ind w:firstLine="482"/>
        <w:rPr>
          <w:color w:val="auto"/>
        </w:rPr>
      </w:pPr>
      <w:r>
        <w:rPr>
          <w:rFonts w:hint="eastAsia"/>
          <w:b/>
          <w:color w:val="4472C4" w:themeColor="accent1"/>
          <w14:textFill>
            <w14:solidFill>
              <w14:schemeClr w14:val="accent1"/>
            </w14:solidFill>
          </w14:textFill>
        </w:rPr>
        <w:t>对专业素质的评价：</w:t>
      </w:r>
      <w:r>
        <w:rPr>
          <w:rFonts w:hint="eastAsia"/>
          <w:color w:val="auto"/>
        </w:rPr>
        <w:t>2</w:t>
      </w:r>
      <w:r>
        <w:rPr>
          <w:color w:val="auto"/>
        </w:rPr>
        <w:t>019</w:t>
      </w:r>
      <w:r>
        <w:rPr>
          <w:rFonts w:hint="eastAsia"/>
          <w:color w:val="auto"/>
        </w:rPr>
        <w:t>届毕业生中认为“专业能力”对工作/学习的重要度比“专业知识”的重要度高0</w:t>
      </w:r>
      <w:r>
        <w:rPr>
          <w:color w:val="auto"/>
        </w:rPr>
        <w:t>.39</w:t>
      </w:r>
      <w:r>
        <w:rPr>
          <w:rFonts w:hint="eastAsia"/>
          <w:color w:val="auto"/>
        </w:rPr>
        <w:t>个百分点，大学所获得的“专业知识”对工作/学习需要的满足度比“专业能力”高1</w:t>
      </w:r>
      <w:r>
        <w:rPr>
          <w:color w:val="auto"/>
        </w:rPr>
        <w:t>.09</w:t>
      </w:r>
      <w:r>
        <w:rPr>
          <w:rFonts w:hint="eastAsia"/>
          <w:color w:val="auto"/>
        </w:rPr>
        <w:t>个百分点。</w:t>
      </w:r>
    </w:p>
    <w:p>
      <w:pPr>
        <w:jc w:val="center"/>
        <w:rPr>
          <w:rFonts w:ascii="宋体" w:hAnsi="宋体"/>
        </w:rPr>
      </w:pPr>
      <w:r>
        <w:rPr>
          <w:rFonts w:ascii="宋体" w:hAnsi="宋体"/>
        </w:rPr>
        <w:drawing>
          <wp:inline distT="0" distB="0" distL="0" distR="0">
            <wp:extent cx="5399405" cy="1439545"/>
            <wp:effectExtent l="0" t="0" r="0" b="8255"/>
            <wp:docPr id="84" name="图表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pPr>
        <w:pStyle w:val="203"/>
        <w:spacing w:before="0" w:beforeLines="0" w:after="0" w:afterLines="0"/>
      </w:pPr>
      <w:bookmarkStart w:id="235" w:name="_Toc525725857"/>
      <w:bookmarkStart w:id="236" w:name="_Toc27002331"/>
      <w:r>
        <w:rPr>
          <w:rFonts w:hint="eastAsia"/>
        </w:rPr>
        <w:t xml:space="preserve">图5- </w:t>
      </w:r>
      <w:r>
        <w:fldChar w:fldCharType="begin"/>
      </w:r>
      <w:r>
        <w:instrText xml:space="preserve"> </w:instrText>
      </w:r>
      <w:r>
        <w:rPr>
          <w:rFonts w:hint="eastAsia"/>
        </w:rPr>
        <w:instrText xml:space="preserve">SEQ 图5- \* ARABIC</w:instrText>
      </w:r>
      <w:r>
        <w:instrText xml:space="preserve"> </w:instrText>
      </w:r>
      <w:r>
        <w:fldChar w:fldCharType="separate"/>
      </w:r>
      <w:r>
        <w:t>8</w:t>
      </w:r>
      <w:r>
        <w:fldChar w:fldCharType="end"/>
      </w:r>
      <w:r>
        <w:t xml:space="preserve">  </w:t>
      </w:r>
      <w:r>
        <w:rPr>
          <w:rFonts w:hint="eastAsia"/>
        </w:rPr>
        <w:t>201</w:t>
      </w:r>
      <w:r>
        <w:t>9</w:t>
      </w:r>
      <w:r>
        <w:rPr>
          <w:rFonts w:hint="eastAsia"/>
        </w:rPr>
        <w:t>届毕业生对专业素质评价结果</w:t>
      </w:r>
      <w:bookmarkEnd w:id="235"/>
      <w:bookmarkEnd w:id="236"/>
    </w:p>
    <w:p>
      <w:pPr>
        <w:pStyle w:val="119"/>
        <w:ind w:firstLine="360"/>
        <w:jc w:val="both"/>
        <w:rPr>
          <w:color w:val="4472C4" w:themeColor="accent1"/>
          <w:lang w:val="en-US"/>
          <w14:textFill>
            <w14:solidFill>
              <w14:schemeClr w14:val="accent1"/>
            </w14:solidFill>
          </w14:textFill>
        </w:rPr>
      </w:pPr>
      <w:r>
        <w:rPr>
          <w:rFonts w:hint="eastAsia"/>
          <w:color w:val="4472C4" w:themeColor="accent1"/>
          <w14:textFill>
            <w14:solidFill>
              <w14:schemeClr w14:val="accent1"/>
            </w14:solidFill>
          </w14:textFill>
        </w:rPr>
        <w:t>注：1</w:t>
      </w:r>
      <w:r>
        <w:rPr>
          <w:color w:val="4472C4" w:themeColor="accent1"/>
          <w14:textFill>
            <w14:solidFill>
              <w14:schemeClr w14:val="accent1"/>
            </w14:solidFill>
          </w14:textFill>
        </w:rPr>
        <w:t>.</w:t>
      </w:r>
      <w:r>
        <w:rPr>
          <w:rFonts w:hint="eastAsia"/>
          <w:color w:val="4472C4" w:themeColor="accent1"/>
          <w14:textFill>
            <w14:solidFill>
              <w14:schemeClr w14:val="accent1"/>
            </w14:solidFill>
          </w14:textFill>
        </w:rPr>
        <w:t>重要度为选择“很重要”、“比较重要”和“一般”的人数占“此题总人数—无法评价人数”的比例。</w:t>
      </w:r>
    </w:p>
    <w:p>
      <w:pPr>
        <w:pStyle w:val="119"/>
        <w:ind w:firstLine="720" w:firstLineChars="400"/>
        <w:jc w:val="both"/>
        <w:rPr>
          <w:color w:val="4472C4" w:themeColor="accent1"/>
          <w14:textFill>
            <w14:solidFill>
              <w14:schemeClr w14:val="accent1"/>
            </w14:solidFill>
          </w14:textFill>
        </w:rPr>
      </w:pPr>
      <w:r>
        <w:rPr>
          <w:rFonts w:hint="eastAsia"/>
          <w:color w:val="4472C4" w:themeColor="accent1"/>
          <w14:textFill>
            <w14:solidFill>
              <w14:schemeClr w14:val="accent1"/>
            </w14:solidFill>
          </w14:textFill>
        </w:rPr>
        <w:t>2</w:t>
      </w:r>
      <w:r>
        <w:rPr>
          <w:color w:val="4472C4" w:themeColor="accent1"/>
          <w14:textFill>
            <w14:solidFill>
              <w14:schemeClr w14:val="accent1"/>
            </w14:solidFill>
          </w14:textFill>
        </w:rPr>
        <w:t>.</w:t>
      </w:r>
      <w:r>
        <w:rPr>
          <w:rFonts w:hint="eastAsia"/>
          <w:color w:val="4472C4" w:themeColor="accent1"/>
          <w14:textFill>
            <w14:solidFill>
              <w14:schemeClr w14:val="accent1"/>
            </w14:solidFill>
          </w14:textFill>
        </w:rPr>
        <w:t>满足度为选择“完全满足”、“大部分满足”和“基本满足”的人数占“此题总人数—无法评价人数”的比例。</w:t>
      </w:r>
    </w:p>
    <w:p>
      <w:pPr>
        <w:spacing w:line="360" w:lineRule="auto"/>
        <w:ind w:firstLine="360" w:firstLineChars="200"/>
        <w:rPr>
          <w:rFonts w:ascii="Times New Roman" w:hAnsi="Times New Roman"/>
          <w:color w:val="4472C4" w:themeColor="accent1"/>
          <w:sz w:val="18"/>
          <w:szCs w:val="18"/>
          <w14:textFill>
            <w14:solidFill>
              <w14:schemeClr w14:val="accent1"/>
            </w14:solidFill>
          </w14:textFill>
        </w:rPr>
      </w:pPr>
      <w:r>
        <w:rPr>
          <w:rFonts w:hint="eastAsia" w:ascii="Times New Roman" w:hAnsi="Times New Roman"/>
          <w:color w:val="4472C4" w:themeColor="accent1"/>
          <w:sz w:val="18"/>
          <w:szCs w:val="18"/>
          <w14:textFill>
            <w14:solidFill>
              <w14:schemeClr w14:val="accent1"/>
            </w14:solidFill>
          </w14:textFill>
        </w:rPr>
        <w:t>数据来源：第三方机构新锦成</w:t>
      </w:r>
      <w:r>
        <w:rPr>
          <w:rFonts w:ascii="Times New Roman" w:hAnsi="Times New Roman"/>
          <w:color w:val="4472C4" w:themeColor="accent1"/>
          <w:sz w:val="18"/>
          <w:szCs w:val="18"/>
          <w14:textFill>
            <w14:solidFill>
              <w14:schemeClr w14:val="accent1"/>
            </w14:solidFill>
          </w14:textFill>
        </w:rPr>
        <w:t>-2019</w:t>
      </w:r>
      <w:r>
        <w:rPr>
          <w:rFonts w:hint="eastAsia" w:ascii="Times New Roman" w:hAnsi="Times New Roman"/>
          <w:color w:val="4472C4" w:themeColor="accent1"/>
          <w:sz w:val="18"/>
          <w:szCs w:val="18"/>
          <w14:textFill>
            <w14:solidFill>
              <w14:schemeClr w14:val="accent1"/>
            </w14:solidFill>
          </w14:textFill>
        </w:rPr>
        <w:t>届毕业生就业与培养质量调查。</w:t>
      </w:r>
    </w:p>
    <w:p>
      <w:pPr>
        <w:pStyle w:val="152"/>
        <w:rPr>
          <w:color w:val="4472C4" w:themeColor="accent1"/>
          <w14:textFill>
            <w14:solidFill>
              <w14:schemeClr w14:val="accent1"/>
            </w14:solidFill>
          </w14:textFill>
        </w:rPr>
      </w:pPr>
      <w:bookmarkStart w:id="237" w:name="_Toc525725636"/>
      <w:bookmarkStart w:id="238" w:name="_Toc27601846"/>
      <w:bookmarkStart w:id="239" w:name="_Hlk19523541"/>
      <w:r>
        <w:rPr>
          <w:rFonts w:hint="eastAsia"/>
          <w:color w:val="4472C4" w:themeColor="accent1"/>
          <w14:textFill>
            <w14:solidFill>
              <w14:schemeClr w14:val="accent1"/>
            </w14:solidFill>
          </w14:textFill>
        </w:rPr>
        <w:t>（二）人才培养改进措施</w:t>
      </w:r>
      <w:bookmarkEnd w:id="237"/>
      <w:bookmarkEnd w:id="238"/>
    </w:p>
    <w:p>
      <w:pPr>
        <w:pStyle w:val="136"/>
        <w:spacing w:before="156" w:beforeLines="50" w:after="156" w:afterLines="50"/>
        <w:ind w:firstLine="480"/>
        <w:rPr>
          <w:color w:val="auto"/>
        </w:rPr>
      </w:pPr>
      <w:r>
        <w:rPr>
          <w:rFonts w:hint="eastAsia"/>
        </w:rPr>
        <w:t>皖西学院深化教学内涵、优化教学条件、提升教学质量，人才培养的整体质量较高。调查结果显示：</w:t>
      </w:r>
      <w:r>
        <w:t>2019届</w:t>
      </w:r>
      <w:r>
        <w:rPr>
          <w:rFonts w:hint="eastAsia"/>
        </w:rPr>
        <w:t>毕业生对</w:t>
      </w:r>
      <w:r>
        <w:t>母校的</w:t>
      </w:r>
      <w:r>
        <w:rPr>
          <w:rFonts w:hint="eastAsia"/>
        </w:rPr>
        <w:t>满意度达到</w:t>
      </w:r>
      <w:r>
        <w:t>98.71%</w:t>
      </w:r>
      <w:r>
        <w:rPr>
          <w:rFonts w:hint="eastAsia"/>
        </w:rPr>
        <w:t>，</w:t>
      </w:r>
      <w:r>
        <w:t>68.75%</w:t>
      </w:r>
      <w:r>
        <w:rPr>
          <w:rFonts w:hint="eastAsia"/>
        </w:rPr>
        <w:t>的毕业生愿意向他人推荐自己的母校；毕业生</w:t>
      </w:r>
      <w:r>
        <w:t>对</w:t>
      </w:r>
      <w:r>
        <w:rPr>
          <w:rFonts w:hint="eastAsia"/>
        </w:rPr>
        <w:t>母校课堂教学总评价的均值为</w:t>
      </w:r>
      <w:r>
        <w:rPr>
          <w:color w:val="auto"/>
        </w:rPr>
        <w:t>3.71</w:t>
      </w:r>
      <w:r>
        <w:rPr>
          <w:rFonts w:hint="eastAsia"/>
        </w:rPr>
        <w:t>分；对实践教学总评价的均值为</w:t>
      </w:r>
      <w:r>
        <w:rPr>
          <w:rFonts w:hint="eastAsia"/>
          <w:color w:val="auto"/>
        </w:rPr>
        <w:t>3</w:t>
      </w:r>
      <w:r>
        <w:rPr>
          <w:color w:val="auto"/>
        </w:rPr>
        <w:t>.60</w:t>
      </w:r>
      <w:r>
        <w:rPr>
          <w:rFonts w:hint="eastAsia"/>
        </w:rPr>
        <w:t>分；毕业生</w:t>
      </w:r>
      <w:r>
        <w:t>对任课教师</w:t>
      </w:r>
      <w:r>
        <w:rPr>
          <w:rFonts w:hint="eastAsia"/>
        </w:rPr>
        <w:t>总评价的均值为</w:t>
      </w:r>
      <w:r>
        <w:t>3.96</w:t>
      </w:r>
      <w:r>
        <w:rPr>
          <w:rFonts w:hint="eastAsia"/>
        </w:rPr>
        <w:t>分。与此同时，毕业生</w:t>
      </w:r>
      <w:r>
        <w:t>对母校人才培养也提出</w:t>
      </w:r>
      <w:r>
        <w:rPr>
          <w:rFonts w:hint="eastAsia"/>
        </w:rPr>
        <w:t>自己</w:t>
      </w:r>
      <w:r>
        <w:t>的建议</w:t>
      </w:r>
      <w:r>
        <w:rPr>
          <w:rFonts w:hint="eastAsia"/>
        </w:rPr>
        <w:t>：</w:t>
      </w:r>
      <w:bookmarkStart w:id="240" w:name="_Hlk521443302"/>
      <w:r>
        <w:rPr>
          <w:rFonts w:hint="eastAsia"/>
        </w:rPr>
        <w:t>用人单位对学校毕业生的“</w:t>
      </w:r>
      <w:r>
        <w:rPr>
          <w:rStyle w:val="193"/>
          <w:rFonts w:hint="eastAsia"/>
        </w:rPr>
        <w:t>学习能力”、“团队合作”能力</w:t>
      </w:r>
      <w:r>
        <w:rPr>
          <w:rFonts w:hint="eastAsia"/>
        </w:rPr>
        <w:t>给予了充分肯定，但同时也希望学校学生能够</w:t>
      </w:r>
      <w:r>
        <w:rPr>
          <w:rFonts w:hint="eastAsia"/>
          <w:color w:val="auto"/>
        </w:rPr>
        <w:t>加强</w:t>
      </w:r>
      <w:r>
        <w:rPr>
          <w:rStyle w:val="193"/>
          <w:rFonts w:hint="eastAsia"/>
          <w:color w:val="auto"/>
        </w:rPr>
        <w:t>“创新能力”和“专业知识和能力”</w:t>
      </w:r>
      <w:r>
        <w:rPr>
          <w:rFonts w:hint="eastAsia"/>
        </w:rPr>
        <w:t>。</w:t>
      </w:r>
      <w:bookmarkEnd w:id="240"/>
      <w:r>
        <w:rPr>
          <w:rFonts w:hint="eastAsia"/>
        </w:rPr>
        <w:t>因此，学校将进一步发挥办学优势，依据市场需求、就业导向开展人才培养，明确和完善专业培养目标和建设重点，推进教学团队、课程教材、实践资源等专业内涵建设。在课程设置方面，随着就业形势及社会需求的变化相应地调整专业基础课和专业课的课程设置，适时地增减课程内容，让学生学到科学、有用的东西。在教育教学方面，创新教学方法，倡导启发式、探究式、参与式教学，突出学习、实践、科研、创新等多方面的素质和能力的培养，提升学生的专业知识和专业技能。此外，学校将继续走产学研合作办学之路，整合校内资源，重构层次化、模块化、项目化的实验课程体系；同时深入探索人才培养的校企事业单位合作机制，建立创新创业基地和实践教学平台，更加突出理论联系实际，培养学生的实际工作能力。</w:t>
      </w:r>
    </w:p>
    <w:p>
      <w:pPr>
        <w:pStyle w:val="142"/>
        <w:rPr>
          <w:color w:val="4472C4" w:themeColor="accent1"/>
          <w14:textFill>
            <w14:solidFill>
              <w14:schemeClr w14:val="accent1"/>
            </w14:solidFill>
          </w14:textFill>
        </w:rPr>
      </w:pPr>
      <w:bookmarkStart w:id="241" w:name="_Toc487789933"/>
      <w:bookmarkStart w:id="242" w:name="_Toc520328949"/>
      <w:bookmarkStart w:id="243" w:name="_Toc487790114"/>
      <w:bookmarkStart w:id="244" w:name="_Toc525725637"/>
      <w:bookmarkStart w:id="245" w:name="_Toc27601847"/>
      <w:r>
        <w:rPr>
          <w:rFonts w:hint="eastAsia"/>
          <w:color w:val="4472C4" w:themeColor="accent1"/>
          <w14:textFill>
            <w14:solidFill>
              <w14:schemeClr w14:val="accent1"/>
            </w14:solidFill>
          </w14:textFill>
        </w:rPr>
        <w:t>二、对招生和专业设置的影响</w:t>
      </w:r>
      <w:bookmarkEnd w:id="241"/>
      <w:bookmarkEnd w:id="242"/>
      <w:bookmarkEnd w:id="243"/>
      <w:bookmarkEnd w:id="244"/>
      <w:bookmarkEnd w:id="245"/>
    </w:p>
    <w:p>
      <w:pPr>
        <w:pStyle w:val="136"/>
        <w:spacing w:before="156" w:beforeLines="50" w:after="156" w:afterLines="50"/>
        <w:ind w:firstLine="480"/>
      </w:pPr>
      <w:r>
        <w:rPr>
          <w:rFonts w:hint="eastAsia"/>
        </w:rPr>
        <w:t>学校</w:t>
      </w:r>
      <w:r>
        <w:t>2019届毕业生各专业的</w:t>
      </w:r>
      <w:r>
        <w:rPr>
          <w:rFonts w:hint="eastAsia"/>
        </w:rPr>
        <w:t>就业情况：就业</w:t>
      </w:r>
      <w:r>
        <w:t>率方面，</w:t>
      </w:r>
      <w:r>
        <w:rPr>
          <w:rFonts w:hint="eastAsia"/>
        </w:rPr>
        <w:t>2</w:t>
      </w:r>
      <w:r>
        <w:t>019</w:t>
      </w:r>
      <w:r>
        <w:rPr>
          <w:rFonts w:hint="eastAsia"/>
        </w:rPr>
        <w:t>届</w:t>
      </w:r>
      <w:r>
        <w:t>毕业生</w:t>
      </w:r>
      <w:r>
        <w:rPr>
          <w:rFonts w:hint="eastAsia"/>
        </w:rPr>
        <w:t>中有49个专业</w:t>
      </w:r>
      <w:r>
        <w:t>的就业率均处于</w:t>
      </w:r>
      <w:r>
        <w:rPr>
          <w:rFonts w:hint="eastAsia"/>
        </w:rPr>
        <w:t>84</w:t>
      </w:r>
      <w:r>
        <w:t>.00%以上</w:t>
      </w:r>
      <w:r>
        <w:rPr>
          <w:rFonts w:hint="eastAsia"/>
        </w:rPr>
        <w:t>，其中高分子材料与工程、化学工程与工艺、应用化学、光源与照明等1</w:t>
      </w:r>
      <w:r>
        <w:t>2</w:t>
      </w:r>
      <w:r>
        <w:rPr>
          <w:rFonts w:hint="eastAsia"/>
        </w:rPr>
        <w:t>个</w:t>
      </w:r>
      <w:r>
        <w:t>专业的就业率达到</w:t>
      </w:r>
      <w:r>
        <w:rPr>
          <w:rFonts w:hint="eastAsia"/>
        </w:rPr>
        <w:t>100.00</w:t>
      </w:r>
      <w:r>
        <w:t>%；</w:t>
      </w:r>
      <w:r>
        <w:rPr>
          <w:rFonts w:hint="eastAsia"/>
        </w:rPr>
        <w:t>而广告学专业</w:t>
      </w:r>
      <w:r>
        <w:t>的就业率</w:t>
      </w:r>
      <w:r>
        <w:rPr>
          <w:rFonts w:hint="eastAsia"/>
        </w:rPr>
        <w:t>相对</w:t>
      </w:r>
      <w:r>
        <w:t>较低，</w:t>
      </w:r>
      <w:r>
        <w:rPr>
          <w:rFonts w:hint="eastAsia"/>
        </w:rPr>
        <w:t>在80.00</w:t>
      </w:r>
      <w:r>
        <w:t>%以下。</w:t>
      </w:r>
      <w:r>
        <w:rPr>
          <w:rFonts w:hint="eastAsia"/>
        </w:rPr>
        <w:t>专业相关</w:t>
      </w:r>
      <w:r>
        <w:t>度方面，</w:t>
      </w:r>
      <w:r>
        <w:rPr>
          <w:rFonts w:hint="eastAsia"/>
        </w:rPr>
        <w:t>2</w:t>
      </w:r>
      <w:r>
        <w:t>019</w:t>
      </w:r>
      <w:r>
        <w:rPr>
          <w:rFonts w:hint="eastAsia"/>
        </w:rPr>
        <w:t>届</w:t>
      </w:r>
      <w:r>
        <w:t>毕业</w:t>
      </w:r>
      <w:r>
        <w:rPr>
          <w:rFonts w:hint="eastAsia"/>
        </w:rPr>
        <w:t>生</w:t>
      </w:r>
      <w:r>
        <w:t>中，</w:t>
      </w:r>
      <w:r>
        <w:rPr>
          <w:rFonts w:hint="eastAsia"/>
        </w:rPr>
        <w:t>数学与应用数学的毕业生工作的专业相关度相对较高，均值为4.62分，偏向于“很相关”水平；而光电信息科学与工程的毕业生工作的专业相关度相对较低，均值为2.24分，处于“比较不相关”水平。同时，毕业生</w:t>
      </w:r>
      <w:r>
        <w:t>从事</w:t>
      </w:r>
      <w:r>
        <w:rPr>
          <w:rFonts w:hint="eastAsia"/>
        </w:rPr>
        <w:t>与</w:t>
      </w:r>
      <w:r>
        <w:t>专业</w:t>
      </w:r>
      <w:r>
        <w:rPr>
          <w:rFonts w:hint="eastAsia"/>
        </w:rPr>
        <w:t>不</w:t>
      </w:r>
      <w:r>
        <w:t>相关工作的原因</w:t>
      </w:r>
      <w:r>
        <w:rPr>
          <w:rFonts w:hint="eastAsia"/>
        </w:rPr>
        <w:t>主要</w:t>
      </w:r>
      <w:r>
        <w:t>为</w:t>
      </w:r>
      <w:r>
        <w:rPr>
          <w:rFonts w:hint="eastAsia"/>
        </w:rPr>
        <w:t>“不想找相关工作，因为个人兴趣。”。</w:t>
      </w:r>
    </w:p>
    <w:p>
      <w:pPr>
        <w:pStyle w:val="136"/>
        <w:spacing w:before="156" w:beforeLines="50" w:after="156" w:afterLines="50"/>
        <w:ind w:firstLine="480"/>
      </w:pPr>
      <w:r>
        <w:rPr>
          <w:rFonts w:hint="eastAsia"/>
        </w:rPr>
        <w:t>就业率和就业质量能相对直观地反映出学校专业设置与社会需求的契合程度及人才培养质量社会认可程度；毕业生相关就业数据结果的统计及反馈对于学校招生计划制定、培养方案的完善、新专业的设立等方面具有重要的参考意义。学校始终以学生就业情况为依据，结合学科发展需求，合理配置教学资源，构建布局合理、可持续发展的专业生态结构。将专业招生计划与建设水平、就业需求、就业质量紧密对接，构建“招生-培养-就业”联动机制，增强专业建设与社会需求的良性互动，形成就业、招生与培养的联动发展格局。</w:t>
      </w:r>
    </w:p>
    <w:p>
      <w:pPr>
        <w:pStyle w:val="142"/>
        <w:rPr>
          <w:color w:val="4472C4" w:themeColor="accent1"/>
          <w14:textFill>
            <w14:solidFill>
              <w14:schemeClr w14:val="accent1"/>
            </w14:solidFill>
          </w14:textFill>
        </w:rPr>
      </w:pPr>
      <w:bookmarkStart w:id="246" w:name="_Toc525725638"/>
      <w:bookmarkStart w:id="247" w:name="_Toc27601848"/>
      <w:r>
        <w:rPr>
          <w:rFonts w:hint="eastAsia"/>
          <w:color w:val="4472C4" w:themeColor="accent1"/>
          <w14:textFill>
            <w14:solidFill>
              <w14:schemeClr w14:val="accent1"/>
            </w14:solidFill>
          </w14:textFill>
        </w:rPr>
        <w:t>三、对就创业指导服务工作的影响</w:t>
      </w:r>
      <w:bookmarkEnd w:id="246"/>
      <w:bookmarkEnd w:id="247"/>
    </w:p>
    <w:p>
      <w:pPr>
        <w:pStyle w:val="152"/>
        <w:rPr>
          <w:color w:val="4472C4" w:themeColor="accent1"/>
          <w14:textFill>
            <w14:solidFill>
              <w14:schemeClr w14:val="accent1"/>
            </w14:solidFill>
          </w14:textFill>
        </w:rPr>
      </w:pPr>
      <w:bookmarkStart w:id="248" w:name="_Toc525725639"/>
      <w:bookmarkStart w:id="249" w:name="_Toc487790116"/>
      <w:bookmarkStart w:id="250" w:name="_Toc520328951"/>
      <w:bookmarkStart w:id="251" w:name="_Toc487789935"/>
      <w:bookmarkStart w:id="252" w:name="_Toc27601849"/>
      <w:r>
        <w:rPr>
          <w:rFonts w:hint="eastAsia"/>
          <w:color w:val="4472C4" w:themeColor="accent1"/>
          <w14:textFill>
            <w14:solidFill>
              <w14:schemeClr w14:val="accent1"/>
            </w14:solidFill>
          </w14:textFill>
        </w:rPr>
        <w:t>（一）对就创业指导服务工作的评价</w:t>
      </w:r>
      <w:bookmarkEnd w:id="239"/>
      <w:bookmarkEnd w:id="248"/>
      <w:bookmarkEnd w:id="249"/>
      <w:bookmarkEnd w:id="250"/>
      <w:bookmarkEnd w:id="251"/>
      <w:bookmarkEnd w:id="252"/>
    </w:p>
    <w:p>
      <w:pPr>
        <w:pStyle w:val="179"/>
        <w:spacing w:before="156" w:beforeLines="50" w:after="156" w:afterLines="50"/>
        <w:ind w:firstLine="482"/>
      </w:pPr>
      <w:r>
        <w:rPr>
          <w:rFonts w:hint="eastAsia"/>
          <w:b/>
          <w:color w:val="4472C4" w:themeColor="accent1"/>
          <w14:textFill>
            <w14:solidFill>
              <w14:schemeClr w14:val="accent1"/>
            </w14:solidFill>
          </w14:textFill>
        </w:rPr>
        <w:t>毕业生对学校就业教育/服务的评价：</w:t>
      </w:r>
      <w:r>
        <w:rPr>
          <w:rFonts w:hint="eastAsia"/>
        </w:rPr>
        <w:t>学校</w:t>
      </w:r>
      <w:r>
        <w:t>2019</w:t>
      </w:r>
      <w:r>
        <w:rPr>
          <w:rFonts w:hint="eastAsia"/>
        </w:rPr>
        <w:t>届毕业生对学校各项就业教育/服务的满意度均在</w:t>
      </w:r>
      <w:r>
        <w:t>91.00%</w:t>
      </w:r>
      <w:r>
        <w:rPr>
          <w:rFonts w:hint="eastAsia"/>
        </w:rPr>
        <w:t>以上；其中对“就业手续办理（户口档案迁移等）”（</w:t>
      </w:r>
      <w:r>
        <w:t>95.29%</w:t>
      </w:r>
      <w:r>
        <w:rPr>
          <w:rFonts w:hint="eastAsia"/>
        </w:rPr>
        <w:t>）、“学校发布的招聘信息”（</w:t>
      </w:r>
      <w:r>
        <w:t>93.68%</w:t>
      </w:r>
      <w:r>
        <w:rPr>
          <w:rFonts w:hint="eastAsia"/>
        </w:rPr>
        <w:t>）、“生涯规划/就业指导课”（</w:t>
      </w:r>
      <w:r>
        <w:t>9</w:t>
      </w:r>
      <w:r>
        <w:rPr>
          <w:rFonts w:hint="eastAsia"/>
        </w:rPr>
        <w:t>3.18</w:t>
      </w:r>
      <w:r>
        <w:t>%</w:t>
      </w:r>
      <w:r>
        <w:rPr>
          <w:rFonts w:hint="eastAsia"/>
        </w:rPr>
        <w:t>）的满意度</w:t>
      </w:r>
      <w:r>
        <w:t>相对较高</w:t>
      </w:r>
      <w:r>
        <w:rPr>
          <w:rFonts w:hint="eastAsia"/>
        </w:rPr>
        <w:t>。</w:t>
      </w:r>
    </w:p>
    <w:p>
      <w:pPr>
        <w:ind w:leftChars="-283" w:hanging="566" w:hangingChars="283"/>
        <w:jc w:val="center"/>
        <w:rPr>
          <w:rFonts w:ascii="宋体" w:hAnsi="宋体"/>
        </w:rPr>
      </w:pPr>
      <w:r>
        <w:rPr>
          <w:rFonts w:hint="eastAsia" w:ascii="宋体" w:hAnsi="宋体"/>
        </w:rPr>
        <w:drawing>
          <wp:inline distT="0" distB="0" distL="0" distR="0">
            <wp:extent cx="5399405" cy="2879725"/>
            <wp:effectExtent l="0" t="0" r="0" b="0"/>
            <wp:docPr id="978" name="图表 97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pPr>
        <w:pStyle w:val="203"/>
        <w:spacing w:before="0" w:beforeLines="0" w:after="0" w:afterLines="0"/>
      </w:pPr>
      <w:bookmarkStart w:id="253" w:name="_Toc16673969"/>
      <w:bookmarkStart w:id="254" w:name="_Toc27002332"/>
      <w:r>
        <w:rPr>
          <w:rFonts w:hint="eastAsia"/>
        </w:rPr>
        <w:t xml:space="preserve">图5- </w:t>
      </w:r>
      <w:r>
        <w:fldChar w:fldCharType="begin"/>
      </w:r>
      <w:r>
        <w:instrText xml:space="preserve"> </w:instrText>
      </w:r>
      <w:r>
        <w:rPr>
          <w:rFonts w:hint="eastAsia"/>
        </w:rPr>
        <w:instrText xml:space="preserve">SEQ 图5- \* ARABIC</w:instrText>
      </w:r>
      <w:r>
        <w:instrText xml:space="preserve"> </w:instrText>
      </w:r>
      <w:r>
        <w:fldChar w:fldCharType="separate"/>
      </w:r>
      <w:r>
        <w:t>9</w:t>
      </w:r>
      <w:r>
        <w:fldChar w:fldCharType="end"/>
      </w:r>
      <w:r>
        <w:t xml:space="preserve">  2019届</w:t>
      </w:r>
      <w:r>
        <w:rPr>
          <w:rFonts w:hint="eastAsia"/>
        </w:rPr>
        <w:t>毕业生对学校就业教育/服务的评价</w:t>
      </w:r>
      <w:bookmarkEnd w:id="253"/>
      <w:bookmarkEnd w:id="254"/>
    </w:p>
    <w:p>
      <w:pPr>
        <w:pStyle w:val="177"/>
        <w:ind w:firstLine="360" w:firstLineChars="200"/>
        <w:jc w:val="both"/>
        <w:rPr>
          <w:color w:val="4472C4" w:themeColor="accent1"/>
          <w14:textFill>
            <w14:solidFill>
              <w14:schemeClr w14:val="accent1"/>
            </w14:solidFill>
          </w14:textFill>
        </w:rPr>
      </w:pPr>
      <w:r>
        <w:rPr>
          <w:rFonts w:hint="eastAsia"/>
          <w:color w:val="4472C4" w:themeColor="accent1"/>
          <w14:textFill>
            <w14:solidFill>
              <w14:schemeClr w14:val="accent1"/>
            </w14:solidFill>
          </w14:textFill>
        </w:rPr>
        <w:t>注：满意度为选择“很满意”、“比较满意”和“一般”的人数占此题总人数的比例。</w:t>
      </w:r>
    </w:p>
    <w:p>
      <w:pPr>
        <w:pStyle w:val="177"/>
        <w:spacing w:after="156" w:afterLines="50"/>
        <w:ind w:firstLine="360" w:firstLineChars="200"/>
        <w:rPr>
          <w:color w:val="4472C4" w:themeColor="accent1"/>
          <w14:textFill>
            <w14:solidFill>
              <w14:schemeClr w14:val="accent1"/>
            </w14:solidFill>
          </w14:textFill>
        </w:rPr>
      </w:pPr>
      <w:r>
        <w:rPr>
          <w:rFonts w:hint="eastAsia"/>
          <w:color w:val="4472C4" w:themeColor="accent1"/>
          <w14:textFill>
            <w14:solidFill>
              <w14:schemeClr w14:val="accent1"/>
            </w14:solidFill>
          </w14:textFill>
        </w:rPr>
        <w:t>数据来源：第三方机构新锦成-2019届毕业生就业与培养质量调查。</w:t>
      </w:r>
    </w:p>
    <w:p>
      <w:pPr>
        <w:pStyle w:val="179"/>
        <w:spacing w:before="156" w:beforeLines="50" w:after="156" w:afterLines="50"/>
        <w:ind w:firstLine="482"/>
      </w:pPr>
      <w:r>
        <w:rPr>
          <w:rFonts w:hint="eastAsia"/>
          <w:b/>
          <w:color w:val="4472C4" w:themeColor="accent1"/>
          <w14:textFill>
            <w14:solidFill>
              <w14:schemeClr w14:val="accent1"/>
            </w14:solidFill>
          </w14:textFill>
        </w:rPr>
        <w:t>毕业生对学校创业教育服务的评价：</w:t>
      </w:r>
      <w:r>
        <w:rPr>
          <w:szCs w:val="21"/>
        </w:rPr>
        <w:t>2019</w:t>
      </w:r>
      <w:r>
        <w:rPr>
          <w:rFonts w:hint="eastAsia" w:ascii="宋体" w:hAnsi="宋体"/>
          <w:szCs w:val="21"/>
        </w:rPr>
        <w:t>届</w:t>
      </w:r>
      <w:r>
        <w:rPr>
          <w:rFonts w:ascii="宋体" w:hAnsi="宋体"/>
          <w:szCs w:val="21"/>
        </w:rPr>
        <w:t>毕业生对母校各项</w:t>
      </w:r>
      <w:r>
        <w:rPr>
          <w:rFonts w:hint="eastAsia" w:ascii="宋体" w:hAnsi="宋体"/>
          <w:szCs w:val="21"/>
        </w:rPr>
        <w:t>创业教育服务各方面</w:t>
      </w:r>
      <w:r>
        <w:rPr>
          <w:rFonts w:ascii="宋体" w:hAnsi="宋体"/>
          <w:szCs w:val="21"/>
        </w:rPr>
        <w:t>的</w:t>
      </w:r>
      <w:r>
        <w:rPr>
          <w:rFonts w:hint="eastAsia" w:ascii="宋体" w:hAnsi="宋体"/>
          <w:szCs w:val="21"/>
        </w:rPr>
        <w:t>评价结果</w:t>
      </w:r>
      <w:r>
        <w:rPr>
          <w:rFonts w:ascii="宋体" w:hAnsi="宋体"/>
          <w:szCs w:val="21"/>
        </w:rPr>
        <w:t>均</w:t>
      </w:r>
      <w:r>
        <w:rPr>
          <w:rFonts w:hint="eastAsia" w:ascii="宋体" w:hAnsi="宋体"/>
          <w:szCs w:val="21"/>
        </w:rPr>
        <w:t>在</w:t>
      </w:r>
      <w:r>
        <w:rPr>
          <w:szCs w:val="21"/>
        </w:rPr>
        <w:t>72.00%</w:t>
      </w:r>
      <w:r>
        <w:rPr>
          <w:rFonts w:hint="eastAsia" w:ascii="宋体" w:hAnsi="宋体"/>
          <w:szCs w:val="21"/>
        </w:rPr>
        <w:t>以上；其中，评价结果较高的前三项分别</w:t>
      </w:r>
      <w:r>
        <w:rPr>
          <w:rFonts w:ascii="宋体" w:hAnsi="宋体"/>
          <w:szCs w:val="21"/>
        </w:rPr>
        <w:t>是</w:t>
      </w:r>
      <w:r>
        <w:rPr>
          <w:rFonts w:hint="eastAsia" w:ascii="宋体" w:hAnsi="宋体"/>
          <w:szCs w:val="21"/>
        </w:rPr>
        <w:t>“</w:t>
      </w:r>
      <w:r>
        <w:rPr>
          <w:rFonts w:hint="eastAsia"/>
        </w:rPr>
        <w:t>创新创业大赛</w:t>
      </w:r>
      <w:r>
        <w:rPr>
          <w:rFonts w:hint="eastAsia" w:ascii="宋体" w:hAnsi="宋体"/>
          <w:szCs w:val="21"/>
        </w:rPr>
        <w:t>”、“创业课程和讲座”和“创业模拟与实训”。</w:t>
      </w:r>
    </w:p>
    <w:p>
      <w:pPr>
        <w:ind w:leftChars="-283" w:hanging="566" w:hangingChars="283"/>
        <w:jc w:val="center"/>
        <w:rPr>
          <w:rFonts w:ascii="宋体" w:hAnsi="宋体"/>
        </w:rPr>
      </w:pPr>
      <w:r>
        <w:rPr>
          <w:rFonts w:hint="eastAsia" w:ascii="宋体" w:hAnsi="宋体"/>
        </w:rPr>
        <w:drawing>
          <wp:inline distT="0" distB="0" distL="0" distR="0">
            <wp:extent cx="5399405" cy="2879725"/>
            <wp:effectExtent l="0" t="0" r="0" b="0"/>
            <wp:docPr id="89" name="图表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pPr>
        <w:pStyle w:val="203"/>
        <w:spacing w:before="0" w:beforeLines="0" w:after="0" w:afterLines="0"/>
      </w:pPr>
      <w:bookmarkStart w:id="255" w:name="_Toc525725859"/>
      <w:bookmarkStart w:id="256" w:name="_Toc27002333"/>
      <w:r>
        <w:rPr>
          <w:rFonts w:hint="eastAsia"/>
        </w:rPr>
        <w:t xml:space="preserve">图5- </w:t>
      </w:r>
      <w:r>
        <w:fldChar w:fldCharType="begin"/>
      </w:r>
      <w:r>
        <w:instrText xml:space="preserve"> </w:instrText>
      </w:r>
      <w:r>
        <w:rPr>
          <w:rFonts w:hint="eastAsia"/>
        </w:rPr>
        <w:instrText xml:space="preserve">SEQ 图5- \* ARABIC</w:instrText>
      </w:r>
      <w:r>
        <w:instrText xml:space="preserve"> </w:instrText>
      </w:r>
      <w:r>
        <w:fldChar w:fldCharType="separate"/>
      </w:r>
      <w:r>
        <w:t>10</w:t>
      </w:r>
      <w:r>
        <w:fldChar w:fldCharType="end"/>
      </w:r>
      <w:r>
        <w:t xml:space="preserve">  2019届毕</w:t>
      </w:r>
      <w:r>
        <w:rPr>
          <w:rFonts w:hint="eastAsia"/>
        </w:rPr>
        <w:t>业生对创业教育/指导服务的评价结果</w:t>
      </w:r>
      <w:bookmarkEnd w:id="255"/>
      <w:bookmarkEnd w:id="256"/>
    </w:p>
    <w:p>
      <w:pPr>
        <w:pStyle w:val="177"/>
        <w:ind w:firstLine="360" w:firstLineChars="200"/>
        <w:rPr>
          <w:color w:val="4472C4" w:themeColor="accent1"/>
          <w14:textFill>
            <w14:solidFill>
              <w14:schemeClr w14:val="accent1"/>
            </w14:solidFill>
          </w14:textFill>
        </w:rPr>
      </w:pPr>
      <w:r>
        <w:rPr>
          <w:rFonts w:hint="eastAsia"/>
          <w:color w:val="4472C4" w:themeColor="accent1"/>
          <w14:textFill>
            <w14:solidFill>
              <w14:schemeClr w14:val="accent1"/>
            </w14:solidFill>
          </w14:textFill>
        </w:rPr>
        <w:t>注：毕业生对创业指导服务的评价包括满意度评价（创业课程和讲座、创业模拟与实训、创新创业大赛、创业指导服务）和帮助度评价（创业场地支持、创业资金筹措支持）。满意度为选择“很满意”、“比较满意”和“一般”的人数占“此题总人数—无法评价”的比例。帮助度为选择“很大帮助”、“较大帮助”和“有些帮助”的人数占“此题总人数—无法评价人数”的比例。。</w:t>
      </w:r>
    </w:p>
    <w:p>
      <w:pPr>
        <w:pStyle w:val="177"/>
        <w:ind w:firstLine="360" w:firstLineChars="200"/>
        <w:rPr>
          <w:color w:val="4472C4" w:themeColor="accent1"/>
          <w14:textFill>
            <w14:solidFill>
              <w14:schemeClr w14:val="accent1"/>
            </w14:solidFill>
          </w14:textFill>
        </w:rPr>
      </w:pPr>
      <w:r>
        <w:rPr>
          <w:rFonts w:hint="eastAsia"/>
          <w:color w:val="4472C4" w:themeColor="accent1"/>
          <w14:textFill>
            <w14:solidFill>
              <w14:schemeClr w14:val="accent1"/>
            </w14:solidFill>
          </w14:textFill>
        </w:rPr>
        <w:t>数据来源：第三方机构新锦成-201</w:t>
      </w:r>
      <w:r>
        <w:rPr>
          <w:color w:val="4472C4" w:themeColor="accent1"/>
          <w14:textFill>
            <w14:solidFill>
              <w14:schemeClr w14:val="accent1"/>
            </w14:solidFill>
          </w14:textFill>
        </w:rPr>
        <w:t>9</w:t>
      </w:r>
      <w:r>
        <w:rPr>
          <w:rFonts w:hint="eastAsia"/>
          <w:color w:val="4472C4" w:themeColor="accent1"/>
          <w14:textFill>
            <w14:solidFill>
              <w14:schemeClr w14:val="accent1"/>
            </w14:solidFill>
          </w14:textFill>
        </w:rPr>
        <w:t>届毕业生就业与培养质量调查。</w:t>
      </w:r>
    </w:p>
    <w:p>
      <w:pPr>
        <w:pStyle w:val="136"/>
        <w:spacing w:before="156" w:beforeLines="50" w:after="156" w:afterLines="50"/>
        <w:ind w:firstLine="482"/>
      </w:pPr>
      <w:r>
        <w:rPr>
          <w:rFonts w:hint="eastAsia"/>
          <w:b/>
          <w:color w:val="4472C4" w:themeColor="accent1"/>
          <w14:textFill>
            <w14:solidFill>
              <w14:schemeClr w14:val="accent1"/>
            </w14:solidFill>
          </w14:textFill>
        </w:rPr>
        <w:t>用人单位对学校就业服务工作的满意度：</w:t>
      </w:r>
      <w:r>
        <w:rPr>
          <w:rFonts w:hint="eastAsia"/>
        </w:rPr>
        <w:t>用人单位对本校就业服务工作的满意度为98.87%；其中43.10%的用人单位对学校就业工作表示“很满意”，47.32%的用人单位对学院就业工作表示“满意”。可见，用人单位对本校就业工作的满意度较高</w:t>
      </w:r>
      <w:r>
        <w:t>。</w:t>
      </w:r>
    </w:p>
    <w:p>
      <w:pPr>
        <w:jc w:val="center"/>
        <w:rPr>
          <w:rFonts w:ascii="宋体" w:hAnsi="宋体"/>
        </w:rPr>
      </w:pPr>
      <w:r>
        <w:rPr>
          <w:rFonts w:ascii="宋体" w:hAnsi="宋体"/>
        </w:rPr>
        <w:drawing>
          <wp:inline distT="0" distB="0" distL="0" distR="0">
            <wp:extent cx="5399405" cy="1979930"/>
            <wp:effectExtent l="0" t="0" r="0" b="1270"/>
            <wp:docPr id="450" name="图表 4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pPr>
        <w:pStyle w:val="203"/>
        <w:spacing w:before="0" w:beforeLines="0" w:after="0" w:afterLines="0"/>
      </w:pPr>
      <w:bookmarkStart w:id="257" w:name="_Toc525725860"/>
      <w:bookmarkStart w:id="258" w:name="_Toc27002334"/>
      <w:r>
        <w:rPr>
          <w:rFonts w:hint="eastAsia"/>
        </w:rPr>
        <w:t xml:space="preserve">图5- </w:t>
      </w:r>
      <w:r>
        <w:fldChar w:fldCharType="begin"/>
      </w:r>
      <w:r>
        <w:instrText xml:space="preserve"> </w:instrText>
      </w:r>
      <w:r>
        <w:rPr>
          <w:rFonts w:hint="eastAsia"/>
        </w:rPr>
        <w:instrText xml:space="preserve">SEQ 图5- \* ARABIC</w:instrText>
      </w:r>
      <w:r>
        <w:instrText xml:space="preserve"> </w:instrText>
      </w:r>
      <w:r>
        <w:fldChar w:fldCharType="separate"/>
      </w:r>
      <w:r>
        <w:t>11</w:t>
      </w:r>
      <w:r>
        <w:fldChar w:fldCharType="end"/>
      </w:r>
      <w:r>
        <w:rPr>
          <w:rFonts w:hint="eastAsia"/>
        </w:rPr>
        <w:t xml:space="preserve">  用人</w:t>
      </w:r>
      <w:r>
        <w:t>单位对</w:t>
      </w:r>
      <w:r>
        <w:rPr>
          <w:rFonts w:hint="eastAsia"/>
        </w:rPr>
        <w:t>学校</w:t>
      </w:r>
      <w:r>
        <w:t>就业服务工作的满意度</w:t>
      </w:r>
      <w:bookmarkEnd w:id="257"/>
      <w:bookmarkEnd w:id="258"/>
    </w:p>
    <w:p>
      <w:pPr>
        <w:pStyle w:val="132"/>
        <w:ind w:firstLine="360"/>
      </w:pPr>
      <w:r>
        <w:rPr>
          <w:rFonts w:hint="eastAsia"/>
        </w:rPr>
        <w:t>注：满意度为选择“很满意”、“比较满意”和“一般”的人数占此题总人数的比例。</w:t>
      </w:r>
    </w:p>
    <w:p>
      <w:pPr>
        <w:pStyle w:val="132"/>
        <w:spacing w:after="156" w:afterLines="50"/>
        <w:ind w:firstLine="360"/>
      </w:pPr>
      <w:r>
        <w:t>数据来源</w:t>
      </w:r>
      <w:r>
        <w:rPr>
          <w:rFonts w:hint="eastAsia"/>
        </w:rPr>
        <w:t>：第三方机构新锦成-</w:t>
      </w:r>
      <w:r>
        <w:rPr>
          <w:rFonts w:hint="eastAsia" w:eastAsia="宋体"/>
        </w:rPr>
        <w:t>201</w:t>
      </w:r>
      <w:r>
        <w:rPr>
          <w:rFonts w:eastAsia="宋体"/>
        </w:rPr>
        <w:t>9</w:t>
      </w:r>
      <w:r>
        <w:rPr>
          <w:rFonts w:hint="eastAsia"/>
        </w:rPr>
        <w:t>届</w:t>
      </w:r>
      <w:r>
        <w:t>毕业生</w:t>
      </w:r>
      <w:r>
        <w:rPr>
          <w:rFonts w:hint="eastAsia"/>
        </w:rPr>
        <w:t>用人单位</w:t>
      </w:r>
      <w:r>
        <w:t>调查。</w:t>
      </w:r>
    </w:p>
    <w:p>
      <w:pPr>
        <w:spacing w:before="156" w:beforeLines="50" w:after="156" w:afterLines="50" w:line="360" w:lineRule="auto"/>
        <w:ind w:firstLine="480" w:firstLineChars="200"/>
        <w:rPr>
          <w:rFonts w:cs="宋体" w:asciiTheme="minorEastAsia" w:hAnsiTheme="minorEastAsia"/>
          <w:bCs/>
          <w:color w:val="000000" w:themeColor="text1"/>
          <w:sz w:val="24"/>
          <w:szCs w:val="21"/>
          <w14:textFill>
            <w14:solidFill>
              <w14:schemeClr w14:val="tx1"/>
            </w14:solidFill>
          </w14:textFill>
        </w:rPr>
      </w:pPr>
      <w:r>
        <w:rPr>
          <w:rFonts w:hint="eastAsia" w:cs="宋体" w:asciiTheme="minorEastAsia" w:hAnsiTheme="minorEastAsia"/>
          <w:bCs/>
          <w:color w:val="000000" w:themeColor="text1"/>
          <w:sz w:val="24"/>
          <w:szCs w:val="21"/>
          <w14:textFill>
            <w14:solidFill>
              <w14:schemeClr w14:val="tx1"/>
            </w14:solidFill>
          </w14:textFill>
        </w:rPr>
        <w:t>用人单位普遍认为学校应在“加强校企沟通”（</w:t>
      </w:r>
      <w:r>
        <w:rPr>
          <w:rFonts w:ascii="Times New Roman" w:hAnsi="Times New Roman" w:cs="宋体"/>
          <w:bCs/>
          <w:color w:val="000000" w:themeColor="text1"/>
          <w:sz w:val="24"/>
          <w:szCs w:val="21"/>
          <w14:textFill>
            <w14:solidFill>
              <w14:schemeClr w14:val="tx1"/>
            </w14:solidFill>
          </w14:textFill>
        </w:rPr>
        <w:t>53.78%</w:t>
      </w:r>
      <w:r>
        <w:rPr>
          <w:rFonts w:cs="宋体" w:asciiTheme="minorEastAsia" w:hAnsiTheme="minorEastAsia"/>
          <w:bCs/>
          <w:color w:val="000000" w:themeColor="text1"/>
          <w:sz w:val="24"/>
          <w:szCs w:val="21"/>
          <w14:textFill>
            <w14:solidFill>
              <w14:schemeClr w14:val="tx1"/>
            </w14:solidFill>
          </w14:textFill>
        </w:rPr>
        <w:t>）</w:t>
      </w:r>
      <w:r>
        <w:rPr>
          <w:rFonts w:hint="eastAsia" w:cs="宋体" w:asciiTheme="minorEastAsia" w:hAnsiTheme="minorEastAsia"/>
          <w:bCs/>
          <w:color w:val="000000" w:themeColor="text1"/>
          <w:sz w:val="24"/>
          <w:szCs w:val="21"/>
          <w14:textFill>
            <w14:solidFill>
              <w14:schemeClr w14:val="tx1"/>
            </w14:solidFill>
          </w14:textFill>
        </w:rPr>
        <w:t>、“增加</w:t>
      </w:r>
      <w:r>
        <w:rPr>
          <w:rFonts w:cs="宋体" w:asciiTheme="minorEastAsia" w:hAnsiTheme="minorEastAsia"/>
          <w:bCs/>
          <w:color w:val="000000" w:themeColor="text1"/>
          <w:sz w:val="24"/>
          <w:szCs w:val="21"/>
          <w14:textFill>
            <w14:solidFill>
              <w14:schemeClr w14:val="tx1"/>
            </w14:solidFill>
          </w14:textFill>
        </w:rPr>
        <w:t>招聘场次</w:t>
      </w:r>
      <w:r>
        <w:rPr>
          <w:rFonts w:hint="eastAsia" w:cs="宋体" w:asciiTheme="minorEastAsia" w:hAnsiTheme="minorEastAsia"/>
          <w:bCs/>
          <w:color w:val="000000" w:themeColor="text1"/>
          <w:sz w:val="24"/>
          <w:szCs w:val="21"/>
          <w14:textFill>
            <w14:solidFill>
              <w14:schemeClr w14:val="tx1"/>
            </w14:solidFill>
          </w14:textFill>
        </w:rPr>
        <w:t>”（</w:t>
      </w:r>
      <w:r>
        <w:rPr>
          <w:rFonts w:ascii="Times New Roman" w:hAnsi="Times New Roman" w:cs="宋体"/>
          <w:bCs/>
          <w:color w:val="000000" w:themeColor="text1"/>
          <w:sz w:val="24"/>
          <w:szCs w:val="21"/>
          <w14:textFill>
            <w14:solidFill>
              <w14:schemeClr w14:val="tx1"/>
            </w14:solidFill>
          </w14:textFill>
        </w:rPr>
        <w:t>32.21%</w:t>
      </w:r>
      <w:r>
        <w:rPr>
          <w:rFonts w:cs="宋体" w:asciiTheme="minorEastAsia" w:hAnsiTheme="minorEastAsia"/>
          <w:bCs/>
          <w:color w:val="000000" w:themeColor="text1"/>
          <w:sz w:val="24"/>
          <w:szCs w:val="21"/>
          <w14:textFill>
            <w14:solidFill>
              <w14:schemeClr w14:val="tx1"/>
            </w14:solidFill>
          </w14:textFill>
        </w:rPr>
        <w:t>）</w:t>
      </w:r>
      <w:r>
        <w:rPr>
          <w:rFonts w:hint="eastAsia" w:cs="宋体" w:asciiTheme="minorEastAsia" w:hAnsiTheme="minorEastAsia"/>
          <w:bCs/>
          <w:color w:val="000000" w:themeColor="text1"/>
          <w:sz w:val="24"/>
          <w:szCs w:val="21"/>
          <w14:textFill>
            <w14:solidFill>
              <w14:schemeClr w14:val="tx1"/>
            </w14:solidFill>
          </w14:textFill>
        </w:rPr>
        <w:t>和“拓宽</w:t>
      </w:r>
      <w:r>
        <w:rPr>
          <w:rFonts w:cs="宋体" w:asciiTheme="minorEastAsia" w:hAnsiTheme="minorEastAsia"/>
          <w:bCs/>
          <w:color w:val="000000" w:themeColor="text1"/>
          <w:sz w:val="24"/>
          <w:szCs w:val="21"/>
          <w14:textFill>
            <w14:solidFill>
              <w14:schemeClr w14:val="tx1"/>
            </w14:solidFill>
          </w14:textFill>
        </w:rPr>
        <w:t>服务项目”</w:t>
      </w:r>
      <w:r>
        <w:rPr>
          <w:rFonts w:hint="eastAsia" w:cs="宋体" w:asciiTheme="minorEastAsia" w:hAnsiTheme="minorEastAsia"/>
          <w:bCs/>
          <w:color w:val="000000" w:themeColor="text1"/>
          <w:sz w:val="24"/>
          <w:szCs w:val="21"/>
          <w14:textFill>
            <w14:solidFill>
              <w14:schemeClr w14:val="tx1"/>
            </w14:solidFill>
          </w14:textFill>
        </w:rPr>
        <w:t>（</w:t>
      </w:r>
      <w:r>
        <w:rPr>
          <w:rFonts w:ascii="Times New Roman" w:hAnsi="Times New Roman" w:cs="宋体"/>
          <w:bCs/>
          <w:color w:val="000000" w:themeColor="text1"/>
          <w:sz w:val="24"/>
          <w:szCs w:val="21"/>
          <w14:textFill>
            <w14:solidFill>
              <w14:schemeClr w14:val="tx1"/>
            </w14:solidFill>
          </w14:textFill>
        </w:rPr>
        <w:t>32.21%</w:t>
      </w:r>
      <w:r>
        <w:rPr>
          <w:rFonts w:cs="宋体" w:asciiTheme="minorEastAsia" w:hAnsiTheme="minorEastAsia"/>
          <w:bCs/>
          <w:color w:val="000000" w:themeColor="text1"/>
          <w:sz w:val="24"/>
          <w:szCs w:val="21"/>
          <w14:textFill>
            <w14:solidFill>
              <w14:schemeClr w14:val="tx1"/>
            </w14:solidFill>
          </w14:textFill>
        </w:rPr>
        <w:t>）</w:t>
      </w:r>
      <w:r>
        <w:rPr>
          <w:rFonts w:hint="eastAsia" w:cs="宋体" w:asciiTheme="minorEastAsia" w:hAnsiTheme="minorEastAsia"/>
          <w:bCs/>
          <w:color w:val="000000" w:themeColor="text1"/>
          <w:sz w:val="24"/>
          <w:szCs w:val="21"/>
          <w14:textFill>
            <w14:solidFill>
              <w14:schemeClr w14:val="tx1"/>
            </w14:solidFill>
          </w14:textFill>
        </w:rPr>
        <w:t>这三个方面来加强就业工作。</w:t>
      </w:r>
    </w:p>
    <w:p>
      <w:pPr>
        <w:jc w:val="center"/>
        <w:rPr>
          <w:rFonts w:ascii="宋体" w:hAnsi="宋体"/>
        </w:rPr>
      </w:pPr>
      <w:r>
        <w:rPr>
          <w:rFonts w:ascii="宋体" w:hAnsi="宋体"/>
        </w:rPr>
        <w:drawing>
          <wp:inline distT="0" distB="0" distL="0" distR="0">
            <wp:extent cx="5399405" cy="1619885"/>
            <wp:effectExtent l="0" t="0" r="0" b="0"/>
            <wp:docPr id="87" name="图表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pPr>
        <w:pStyle w:val="203"/>
        <w:spacing w:before="0" w:beforeLines="0" w:after="0" w:afterLines="0"/>
      </w:pPr>
      <w:bookmarkStart w:id="259" w:name="_Toc27002335"/>
      <w:bookmarkStart w:id="260" w:name="_Toc525725861"/>
      <w:r>
        <w:t xml:space="preserve">图5- </w:t>
      </w:r>
      <w:r>
        <w:fldChar w:fldCharType="begin"/>
      </w:r>
      <w:r>
        <w:instrText xml:space="preserve"> SEQ 图5- \* ARABIC </w:instrText>
      </w:r>
      <w:r>
        <w:fldChar w:fldCharType="separate"/>
      </w:r>
      <w:r>
        <w:t>12</w:t>
      </w:r>
      <w:r>
        <w:fldChar w:fldCharType="end"/>
      </w:r>
      <w:r>
        <w:t xml:space="preserve">  </w:t>
      </w:r>
      <w:r>
        <w:rPr>
          <w:rFonts w:hint="eastAsia"/>
        </w:rPr>
        <w:t>用人</w:t>
      </w:r>
      <w:r>
        <w:t>单位</w:t>
      </w:r>
      <w:r>
        <w:rPr>
          <w:rFonts w:hint="eastAsia"/>
        </w:rPr>
        <w:t>对学校</w:t>
      </w:r>
      <w:r>
        <w:t>就业服务工作</w:t>
      </w:r>
      <w:r>
        <w:rPr>
          <w:rFonts w:hint="eastAsia"/>
        </w:rPr>
        <w:t>的建议</w:t>
      </w:r>
      <w:bookmarkEnd w:id="259"/>
      <w:bookmarkEnd w:id="260"/>
    </w:p>
    <w:p>
      <w:pPr>
        <w:pStyle w:val="119"/>
        <w:ind w:firstLine="360"/>
        <w:rPr>
          <w:color w:val="4472C4" w:themeColor="accent1"/>
          <w14:textFill>
            <w14:solidFill>
              <w14:schemeClr w14:val="accent1"/>
            </w14:solidFill>
          </w14:textFill>
        </w:rPr>
      </w:pPr>
      <w:r>
        <w:rPr>
          <w:rFonts w:hint="eastAsia"/>
          <w:color w:val="4472C4" w:themeColor="accent1"/>
          <w14:textFill>
            <w14:solidFill>
              <w14:schemeClr w14:val="accent1"/>
            </w14:solidFill>
          </w14:textFill>
        </w:rPr>
        <w:t>注</w:t>
      </w:r>
      <w:r>
        <w:rPr>
          <w:color w:val="4472C4" w:themeColor="accent1"/>
          <w14:textFill>
            <w14:solidFill>
              <w14:schemeClr w14:val="accent1"/>
            </w14:solidFill>
          </w14:textFill>
        </w:rPr>
        <w:t>：</w:t>
      </w:r>
      <w:r>
        <w:rPr>
          <w:rFonts w:hint="eastAsia"/>
          <w:color w:val="4472C4" w:themeColor="accent1"/>
          <w14:textFill>
            <w14:solidFill>
              <w14:schemeClr w14:val="accent1"/>
            </w14:solidFill>
          </w14:textFill>
        </w:rPr>
        <w:t>此题</w:t>
      </w:r>
      <w:r>
        <w:rPr>
          <w:color w:val="4472C4" w:themeColor="accent1"/>
          <w14:textFill>
            <w14:solidFill>
              <w14:schemeClr w14:val="accent1"/>
            </w14:solidFill>
          </w14:textFill>
        </w:rPr>
        <w:t>为多选题，故各选项占比之和不等于</w:t>
      </w:r>
      <w:r>
        <w:rPr>
          <w:rFonts w:hint="eastAsia"/>
          <w:color w:val="4472C4" w:themeColor="accent1"/>
          <w14:textFill>
            <w14:solidFill>
              <w14:schemeClr w14:val="accent1"/>
            </w14:solidFill>
          </w14:textFill>
        </w:rPr>
        <w:t>100.00%。</w:t>
      </w:r>
    </w:p>
    <w:p>
      <w:pPr>
        <w:pStyle w:val="119"/>
        <w:ind w:firstLine="360"/>
        <w:rPr>
          <w:color w:val="4472C4" w:themeColor="accent1"/>
          <w14:textFill>
            <w14:solidFill>
              <w14:schemeClr w14:val="accent1"/>
            </w14:solidFill>
          </w14:textFill>
        </w:rPr>
      </w:pPr>
      <w:r>
        <w:rPr>
          <w:rFonts w:hint="eastAsia"/>
          <w:color w:val="4472C4" w:themeColor="accent1"/>
          <w14:textFill>
            <w14:solidFill>
              <w14:schemeClr w14:val="accent1"/>
            </w14:solidFill>
          </w14:textFill>
        </w:rPr>
        <w:t>数据来源：第三方机构新锦成</w:t>
      </w:r>
      <w:r>
        <w:rPr>
          <w:color w:val="4472C4" w:themeColor="accent1"/>
          <w14:textFill>
            <w14:solidFill>
              <w14:schemeClr w14:val="accent1"/>
            </w14:solidFill>
          </w14:textFill>
        </w:rPr>
        <w:t>-2019</w:t>
      </w:r>
      <w:r>
        <w:rPr>
          <w:rFonts w:hint="eastAsia"/>
          <w:color w:val="4472C4" w:themeColor="accent1"/>
          <w14:textFill>
            <w14:solidFill>
              <w14:schemeClr w14:val="accent1"/>
            </w14:solidFill>
          </w14:textFill>
        </w:rPr>
        <w:t>届毕业生就业与培养质量调查。</w:t>
      </w:r>
    </w:p>
    <w:p>
      <w:pPr>
        <w:pStyle w:val="152"/>
        <w:rPr>
          <w:color w:val="4472C4" w:themeColor="accent1"/>
          <w14:textFill>
            <w14:solidFill>
              <w14:schemeClr w14:val="accent1"/>
            </w14:solidFill>
          </w14:textFill>
        </w:rPr>
      </w:pPr>
      <w:bookmarkStart w:id="261" w:name="_Toc487789936"/>
      <w:bookmarkStart w:id="262" w:name="_Toc487790117"/>
      <w:bookmarkStart w:id="263" w:name="_Toc520328952"/>
      <w:bookmarkStart w:id="264" w:name="_Toc525725640"/>
      <w:bookmarkStart w:id="265" w:name="_Toc27601850"/>
      <w:r>
        <w:rPr>
          <w:rFonts w:hint="eastAsia"/>
          <w:color w:val="4472C4" w:themeColor="accent1"/>
          <w14:textFill>
            <w14:solidFill>
              <w14:schemeClr w14:val="accent1"/>
            </w14:solidFill>
          </w14:textFill>
        </w:rPr>
        <w:t>（二）对就创业指导服务工作改进措施</w:t>
      </w:r>
      <w:bookmarkEnd w:id="261"/>
      <w:bookmarkEnd w:id="262"/>
      <w:bookmarkEnd w:id="263"/>
      <w:bookmarkEnd w:id="264"/>
      <w:bookmarkEnd w:id="265"/>
    </w:p>
    <w:p>
      <w:pPr>
        <w:pStyle w:val="136"/>
        <w:spacing w:before="156" w:beforeLines="50" w:after="156" w:afterLines="50"/>
        <w:ind w:firstLine="480"/>
      </w:pPr>
      <w:r>
        <w:t>学</w:t>
      </w:r>
      <w:r>
        <w:rPr>
          <w:rFonts w:hint="eastAsia"/>
        </w:rPr>
        <w:t>校</w:t>
      </w:r>
      <w:r>
        <w:t>注重就业指导服务水平的提升，每年根据毕业生问卷调查的反馈，聚焦问题实施改善。根据调查显示，2019</w:t>
      </w:r>
      <w:r>
        <w:rPr>
          <w:rFonts w:hint="eastAsia"/>
        </w:rPr>
        <w:t>届毕业生对母校各项就业教育服务的评价偏向比较满意水平，对母校各项就业教育服务的满意度均在</w:t>
      </w:r>
      <w:r>
        <w:t>91.00%</w:t>
      </w:r>
      <w:r>
        <w:rPr>
          <w:rFonts w:hint="eastAsia"/>
        </w:rPr>
        <w:t>以上，对各项创业教育服务的满意度均在</w:t>
      </w:r>
      <w:r>
        <w:t>72.00%</w:t>
      </w:r>
      <w:r>
        <w:rPr>
          <w:rFonts w:hint="eastAsia"/>
        </w:rPr>
        <w:t>以上。学校将继续整合各方资源，多管齐下，为毕业生提供全方位立体化的就业创业指导服务：一方面，继续提高就业指导水平和服务能力，增强就业指导工作的针对性和有效性；加强信息平台建设，保障网上信息交流为主的无形就业市场的建设，促进信息服务水平，为毕业生提供更完善的就业服务。另一方面，丰富就业、创业指导服务，构建以提高实践能力为核心，以全面提升学生就业素养为目的的活动模式；如开展生涯规划比赛、素质拓展训练、实践观摩比赛及专题互动式论坛、模拟创业活动等，让学生在活动中培养自身的生涯意识、提高自己的就业、创业能力。此外，积极开展创新创业教育工作，将创新精神、创业意识和创新创业能力的培养融入到人才培养的全过程中，努力培养造就“大众创业、万众创新”的生力军，推动学校毕业生更高质量创业就业。</w:t>
      </w:r>
    </w:p>
    <w:p>
      <w:pPr>
        <w:pStyle w:val="169"/>
        <w:spacing w:before="156" w:after="312"/>
      </w:pPr>
      <w:bookmarkStart w:id="266" w:name="_Toc18325420"/>
      <w:bookmarkStart w:id="267" w:name="_Toc27601851"/>
      <w:r>
        <w:rPr>
          <w:rFonts w:hint="eastAsia"/>
        </w:rPr>
        <w:t>结 语</w:t>
      </w:r>
      <w:bookmarkEnd w:id="266"/>
      <w:bookmarkEnd w:id="267"/>
    </w:p>
    <w:p>
      <w:pPr>
        <w:pStyle w:val="136"/>
        <w:spacing w:before="156" w:beforeLines="50" w:after="156" w:afterLines="50"/>
        <w:ind w:firstLine="480"/>
      </w:pPr>
      <w:r>
        <w:rPr>
          <w:rFonts w:hint="eastAsia"/>
        </w:rPr>
        <w:t>习近平总书记强调：要做好以高校毕业生为重点的青年就业工作，</w:t>
      </w:r>
      <w:r>
        <w:t>支持帮助学生们迈好走向社会的第一步。毕业生</w:t>
      </w:r>
      <w:r>
        <w:rPr>
          <w:rFonts w:hint="eastAsia"/>
        </w:rPr>
        <w:t>就业</w:t>
      </w:r>
      <w:r>
        <w:t>工作关系着青年的发展</w:t>
      </w:r>
      <w:r>
        <w:rPr>
          <w:rFonts w:hint="eastAsia"/>
        </w:rPr>
        <w:t>、</w:t>
      </w:r>
      <w:r>
        <w:t>社会</w:t>
      </w:r>
      <w:r>
        <w:rPr>
          <w:rFonts w:hint="eastAsia"/>
        </w:rPr>
        <w:t>的</w:t>
      </w:r>
      <w:r>
        <w:t>稳定</w:t>
      </w:r>
      <w:r>
        <w:rPr>
          <w:rFonts w:hint="eastAsia"/>
        </w:rPr>
        <w:t>、</w:t>
      </w:r>
      <w:r>
        <w:t>人民的幸福。在后续工作中，学校将继续全面贯彻落实党的</w:t>
      </w:r>
      <w:r>
        <w:rPr>
          <w:rFonts w:hint="eastAsia"/>
        </w:rPr>
        <w:t>十九大和习近平总书记</w:t>
      </w:r>
      <w:r>
        <w:t>系列重要讲话精神，切实提高思想认识，不断增强政治自觉</w:t>
      </w:r>
      <w:r>
        <w:rPr>
          <w:rFonts w:hint="eastAsia"/>
        </w:rPr>
        <w:t>，</w:t>
      </w:r>
      <w:r>
        <w:t>把做好就业创</w:t>
      </w:r>
      <w:r>
        <w:rPr>
          <w:rFonts w:hint="eastAsia"/>
        </w:rPr>
        <w:t>业</w:t>
      </w:r>
      <w:r>
        <w:t>工作</w:t>
      </w:r>
      <w:r>
        <w:rPr>
          <w:rFonts w:hint="eastAsia"/>
        </w:rPr>
        <w:t>作</w:t>
      </w:r>
      <w:r>
        <w:t>为一项重大的政治任务和民心</w:t>
      </w:r>
      <w:r>
        <w:rPr>
          <w:rFonts w:hint="eastAsia"/>
        </w:rPr>
        <w:t>工程</w:t>
      </w:r>
      <w:r>
        <w:t>，不</w:t>
      </w:r>
      <w:r>
        <w:rPr>
          <w:rFonts w:hint="eastAsia"/>
        </w:rPr>
        <w:t>打</w:t>
      </w:r>
      <w:r>
        <w:t>折扣扎实地抓紧抓好。</w:t>
      </w:r>
      <w:r>
        <w:rPr>
          <w:rFonts w:hint="eastAsia"/>
        </w:rPr>
        <w:t>以</w:t>
      </w:r>
      <w:r>
        <w:t>立德树</w:t>
      </w:r>
      <w:r>
        <w:rPr>
          <w:rFonts w:hint="eastAsia"/>
        </w:rPr>
        <w:t>人</w:t>
      </w:r>
      <w:r>
        <w:t>为本，以社会需求导向</w:t>
      </w:r>
      <w:r>
        <w:rPr>
          <w:rFonts w:hint="eastAsia"/>
        </w:rPr>
        <w:t>，</w:t>
      </w:r>
      <w:r>
        <w:t>不断深化教育</w:t>
      </w:r>
      <w:r>
        <w:rPr>
          <w:rFonts w:hint="eastAsia"/>
        </w:rPr>
        <w:t>教</w:t>
      </w:r>
      <w:r>
        <w:t>学改革</w:t>
      </w:r>
      <w:r>
        <w:rPr>
          <w:rFonts w:hint="eastAsia"/>
        </w:rPr>
        <w:t>，</w:t>
      </w:r>
      <w:r>
        <w:t>创新</w:t>
      </w:r>
      <w:r>
        <w:rPr>
          <w:rFonts w:hint="eastAsia"/>
        </w:rPr>
        <w:t>人</w:t>
      </w:r>
      <w:r>
        <w:t>才培养机制</w:t>
      </w:r>
      <w:r>
        <w:rPr>
          <w:rFonts w:hint="eastAsia"/>
        </w:rPr>
        <w:t>，</w:t>
      </w:r>
      <w:r>
        <w:t>加强就业创</w:t>
      </w:r>
      <w:r>
        <w:rPr>
          <w:rFonts w:hint="eastAsia"/>
        </w:rPr>
        <w:t>业</w:t>
      </w:r>
      <w:r>
        <w:t>指导与服务，为社会输送合格有用</w:t>
      </w:r>
      <w:r>
        <w:rPr>
          <w:rFonts w:hint="eastAsia"/>
        </w:rPr>
        <w:t>的</w:t>
      </w:r>
      <w:r>
        <w:t>人才</w:t>
      </w:r>
      <w:r>
        <w:rPr>
          <w:rFonts w:hint="eastAsia"/>
        </w:rPr>
        <w:t>，</w:t>
      </w:r>
      <w:r>
        <w:t>办好</w:t>
      </w:r>
      <w:r>
        <w:rPr>
          <w:rFonts w:hint="eastAsia"/>
        </w:rPr>
        <w:t>人</w:t>
      </w:r>
      <w:r>
        <w:t>民满意的教育，为经济社会发展</w:t>
      </w:r>
      <w:r>
        <w:rPr>
          <w:rFonts w:hint="eastAsia"/>
        </w:rPr>
        <w:t>及</w:t>
      </w:r>
      <w:r>
        <w:t>社会和谐稳定做出更大的贡献。</w:t>
      </w:r>
    </w:p>
    <w:p>
      <w:pPr>
        <w:pStyle w:val="119"/>
        <w:ind w:firstLine="360"/>
        <w:rPr>
          <w:lang w:val="en-US"/>
        </w:rPr>
      </w:pPr>
    </w:p>
    <w:p>
      <w:pPr>
        <w:pStyle w:val="119"/>
        <w:ind w:firstLine="360"/>
        <w:jc w:val="both"/>
        <w:rPr>
          <w:color w:val="4472C4" w:themeColor="accent1"/>
          <w14:textFill>
            <w14:solidFill>
              <w14:schemeClr w14:val="accent1"/>
            </w14:solidFill>
          </w14:textFill>
        </w:rPr>
        <w:sectPr>
          <w:headerReference r:id="rId6" w:type="default"/>
          <w:pgSz w:w="11907" w:h="16160"/>
          <w:pgMar w:top="1418" w:right="1418" w:bottom="1418" w:left="1701" w:header="850" w:footer="397" w:gutter="0"/>
          <w:pgNumType w:start="1"/>
          <w:cols w:space="720" w:num="1"/>
          <w:docGrid w:type="linesAndChars" w:linePitch="312" w:charSpace="0"/>
        </w:sectPr>
      </w:pPr>
    </w:p>
    <w:p>
      <w:pPr>
        <w:pStyle w:val="136"/>
        <w:spacing w:after="120"/>
        <w:ind w:firstLine="0" w:firstLineChars="0"/>
        <w:rPr>
          <w:rStyle w:val="37"/>
          <w:rFonts w:eastAsia="黑体" w:cs="黑体"/>
          <w:sz w:val="21"/>
          <w:szCs w:val="21"/>
        </w:rPr>
      </w:pPr>
      <w:r>
        <w:rPr>
          <w:rStyle w:val="37"/>
          <w:rFonts w:eastAsia="黑体" w:cs="黑体"/>
          <w:sz w:val="21"/>
          <w:szCs w:val="21"/>
        </w:rPr>
        <w:drawing>
          <wp:anchor distT="0" distB="0" distL="114300" distR="114300" simplePos="0" relativeHeight="251881472" behindDoc="0" locked="0" layoutInCell="1" allowOverlap="1">
            <wp:simplePos x="0" y="0"/>
            <wp:positionH relativeFrom="page">
              <wp:align>left</wp:align>
            </wp:positionH>
            <wp:positionV relativeFrom="paragraph">
              <wp:posOffset>-900430</wp:posOffset>
            </wp:positionV>
            <wp:extent cx="7580630" cy="10727690"/>
            <wp:effectExtent l="0" t="0" r="1905" b="0"/>
            <wp:wrapNone/>
            <wp:docPr id="1188" name="图片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图片 118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7580418" cy="10728000"/>
                    </a:xfrm>
                    <a:prstGeom prst="rect">
                      <a:avLst/>
                    </a:prstGeom>
                    <a:noFill/>
                    <a:ln>
                      <a:noFill/>
                    </a:ln>
                  </pic:spPr>
                </pic:pic>
              </a:graphicData>
            </a:graphic>
          </wp:anchor>
        </w:drawing>
      </w:r>
    </w:p>
    <w:p>
      <w:pPr>
        <w:pStyle w:val="136"/>
        <w:spacing w:after="120"/>
        <w:ind w:firstLine="0" w:firstLineChars="0"/>
        <w:rPr>
          <w:rStyle w:val="37"/>
          <w:rFonts w:eastAsia="黑体" w:cs="黑体"/>
          <w:sz w:val="21"/>
          <w:szCs w:val="21"/>
        </w:rPr>
      </w:pPr>
      <w:r>
        <w:rPr>
          <w:rFonts w:eastAsia="Times New Roman" w:cs="Times New Roman"/>
          <w:snapToGrid w:val="0"/>
          <w:w w:val="0"/>
          <w:sz w:val="0"/>
          <w:szCs w:val="0"/>
          <w:u w:color="000000"/>
          <w:shd w:val="clear" w:color="000000" w:fill="000000"/>
          <w:lang w:val="zh-CN" w:bidi="zh-CN"/>
        </w:rPr>
        <w:t xml:space="preserve"> </w:t>
      </w:r>
    </w:p>
    <w:sectPr>
      <w:headerReference r:id="rId7" w:type="default"/>
      <w:pgSz w:w="11907" w:h="16160"/>
      <w:pgMar w:top="1418" w:right="1418" w:bottom="1418" w:left="1701" w:header="680" w:footer="397" w:gutter="0"/>
      <w:pgNumType w:start="1"/>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ˎ̥">
    <w:altName w:val="Times New Roman"/>
    <w:panose1 w:val="00000000000000000000"/>
    <w:charset w:val="00"/>
    <w:family w:val="modern"/>
    <w:pitch w:val="default"/>
    <w:sig w:usb0="00000000" w:usb1="00000000" w:usb2="00000000" w:usb3="00000000" w:csb0="00040001" w:csb1="00000000"/>
  </w:font>
  <w:font w:name="Time New Roman">
    <w:altName w:val="Times New Roman"/>
    <w:panose1 w:val="00000000000000000000"/>
    <w:charset w:val="00"/>
    <w:family w:val="auto"/>
    <w:pitch w:val="default"/>
    <w:sig w:usb0="00000000" w:usb1="00000000" w:usb2="00000000"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TimesNewRomanPSMT">
    <w:altName w:val="Times New Roman"/>
    <w:panose1 w:val="00000000000000000000"/>
    <w:charset w:val="00"/>
    <w:family w:val="roman"/>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rFonts w:ascii="Times New Roman" w:hAnsi="Times New Roman"/>
        <w:color w:val="4472C4" w:themeColor="accent1"/>
        <w:sz w:val="21"/>
        <w14:textFill>
          <w14:solidFill>
            <w14:schemeClr w14:val="accent1"/>
          </w14:solidFill>
        </w14:textFill>
      </w:rPr>
    </w:pPr>
    <w:r>
      <w:rPr>
        <w:rFonts w:ascii="Times New Roman" w:hAnsi="Times New Roman"/>
        <w:color w:val="4472C4" w:themeColor="accent1"/>
        <w:sz w:val="21"/>
        <w14:textFill>
          <w14:solidFill>
            <w14:schemeClr w14:val="accent1"/>
          </w14:solidFill>
        </w14:textFill>
      </w:rPr>
      <w:fldChar w:fldCharType="begin"/>
    </w:r>
    <w:r>
      <w:rPr>
        <w:rFonts w:ascii="Times New Roman" w:hAnsi="Times New Roman"/>
        <w:color w:val="4472C4" w:themeColor="accent1"/>
        <w:sz w:val="21"/>
        <w14:textFill>
          <w14:solidFill>
            <w14:schemeClr w14:val="accent1"/>
          </w14:solidFill>
        </w14:textFill>
      </w:rPr>
      <w:instrText xml:space="preserve">PAGE   \* MERGEFORMAT</w:instrText>
    </w:r>
    <w:r>
      <w:rPr>
        <w:rFonts w:ascii="Times New Roman" w:hAnsi="Times New Roman"/>
        <w:color w:val="4472C4" w:themeColor="accent1"/>
        <w:sz w:val="21"/>
        <w14:textFill>
          <w14:solidFill>
            <w14:schemeClr w14:val="accent1"/>
          </w14:solidFill>
        </w14:textFill>
      </w:rPr>
      <w:fldChar w:fldCharType="separate"/>
    </w:r>
    <w:r>
      <w:rPr>
        <w:rFonts w:ascii="Times New Roman" w:hAnsi="Times New Roman"/>
        <w:color w:val="4472C4" w:themeColor="accent1"/>
        <w:sz w:val="21"/>
        <w14:textFill>
          <w14:solidFill>
            <w14:schemeClr w14:val="accent1"/>
          </w14:solidFill>
        </w14:textFill>
      </w:rPr>
      <w:t>57</w:t>
    </w:r>
    <w:r>
      <w:rPr>
        <w:rFonts w:ascii="Times New Roman" w:hAnsi="Times New Roman"/>
        <w:color w:val="4472C4" w:themeColor="accent1"/>
        <w:sz w:val="21"/>
        <w14:textFill>
          <w14:solidFill>
            <w14:schemeClr w14:val="accent1"/>
          </w14:solidFill>
        </w14:textFill>
      </w:rPr>
      <w:fldChar w:fldCharType="end"/>
    </w:r>
  </w:p>
  <w:p>
    <w:pPr>
      <w:pStyle w:val="19"/>
      <w:tabs>
        <w:tab w:val="left" w:pos="2850"/>
        <w:tab w:val="left" w:pos="3570"/>
      </w:tabs>
    </w:pP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24"/>
        <w:spacing w:before="156" w:after="156"/>
        <w:ind w:firstLine="360" w:firstLineChars="200"/>
        <w:jc w:val="both"/>
        <w:rPr>
          <w:rFonts w:asciiTheme="minorEastAsia" w:hAnsiTheme="minorEastAsia" w:eastAsiaTheme="minorEastAsia"/>
        </w:rPr>
      </w:pPr>
      <w:r>
        <w:rPr>
          <w:rStyle w:val="42"/>
        </w:rPr>
        <w:footnoteRef/>
      </w:r>
      <w:r>
        <w:t xml:space="preserve"> </w:t>
      </w:r>
      <w:r>
        <w:rPr>
          <w:rStyle w:val="40"/>
          <w:rFonts w:hint="eastAsia" w:asciiTheme="minorEastAsia" w:hAnsiTheme="minorEastAsia" w:eastAsiaTheme="minorEastAsia"/>
          <w:color w:val="auto"/>
          <w:u w:val="none"/>
        </w:rPr>
        <w:t>针对毕业去向</w:t>
      </w:r>
      <w:r>
        <w:rPr>
          <w:rStyle w:val="40"/>
          <w:rFonts w:asciiTheme="minorEastAsia" w:hAnsiTheme="minorEastAsia" w:eastAsiaTheme="minorEastAsia"/>
          <w:color w:val="auto"/>
          <w:u w:val="none"/>
        </w:rPr>
        <w:t>为</w:t>
      </w:r>
      <w:r>
        <w:rPr>
          <w:rStyle w:val="40"/>
          <w:rFonts w:hint="eastAsia" w:asciiTheme="minorEastAsia" w:hAnsiTheme="minorEastAsia" w:eastAsiaTheme="minorEastAsia"/>
          <w:color w:val="auto"/>
          <w:u w:val="none"/>
        </w:rPr>
        <w:t>签就业协议形式就业、签劳动合同形式就业、其他录用形式就业、国家基层项目、应征义务兵的</w:t>
      </w:r>
      <w:r>
        <w:rPr>
          <w:rStyle w:val="40"/>
          <w:rFonts w:asciiTheme="minorEastAsia" w:hAnsiTheme="minorEastAsia" w:eastAsiaTheme="minorEastAsia"/>
          <w:color w:val="auto"/>
          <w:u w:val="none"/>
        </w:rPr>
        <w:t>毕业生</w:t>
      </w:r>
      <w:r>
        <w:rPr>
          <w:rStyle w:val="40"/>
          <w:rFonts w:hint="eastAsia" w:asciiTheme="minorEastAsia" w:hAnsiTheme="minorEastAsia" w:eastAsiaTheme="minorEastAsia"/>
          <w:color w:val="auto"/>
          <w:u w:val="none"/>
        </w:rPr>
        <w:t>进一步</w:t>
      </w:r>
      <w:r>
        <w:rPr>
          <w:rStyle w:val="40"/>
          <w:rFonts w:asciiTheme="minorEastAsia" w:hAnsiTheme="minorEastAsia" w:eastAsiaTheme="minorEastAsia"/>
          <w:color w:val="auto"/>
          <w:u w:val="none"/>
        </w:rPr>
        <w:t>统计分析</w:t>
      </w:r>
      <w:r>
        <w:rPr>
          <w:rStyle w:val="40"/>
          <w:rFonts w:hint="eastAsia" w:asciiTheme="minorEastAsia" w:hAnsiTheme="minorEastAsia" w:eastAsiaTheme="minorEastAsia"/>
          <w:color w:val="auto"/>
          <w:u w:val="none"/>
        </w:rPr>
        <w:t>其</w:t>
      </w:r>
      <w:r>
        <w:rPr>
          <w:rStyle w:val="40"/>
          <w:rFonts w:asciiTheme="minorEastAsia" w:hAnsiTheme="minorEastAsia" w:eastAsiaTheme="minorEastAsia"/>
          <w:color w:val="auto"/>
          <w:u w:val="none"/>
        </w:rPr>
        <w:t>就业地区、就业单位、就业行业及就业职业分布</w:t>
      </w:r>
      <w:r>
        <w:t>。</w:t>
      </w:r>
    </w:p>
  </w:footnote>
  <w:footnote w:id="1">
    <w:p>
      <w:pPr>
        <w:pStyle w:val="24"/>
        <w:ind w:firstLine="480"/>
      </w:pPr>
      <w:r>
        <w:rPr>
          <w:rStyle w:val="42"/>
        </w:rPr>
        <w:footnoteRef/>
      </w:r>
      <w:r>
        <w:rPr>
          <w:rFonts w:hint="eastAsia"/>
          <w:lang w:val="en-US"/>
        </w:rPr>
        <w:t>任课教师的总评价</w:t>
      </w:r>
      <w:r>
        <w:rPr>
          <w:lang w:val="en-US"/>
        </w:rPr>
        <w:t>=</w:t>
      </w:r>
      <w:r>
        <w:rPr>
          <w:rFonts w:hint="eastAsia"/>
          <w:lang w:val="en-US"/>
        </w:rPr>
        <w:t>（专业课教学态度</w:t>
      </w:r>
      <w:r>
        <w:rPr>
          <w:lang w:val="en-US"/>
        </w:rPr>
        <w:t>+</w:t>
      </w:r>
      <w:r>
        <w:rPr>
          <w:rFonts w:hint="eastAsia"/>
          <w:lang w:val="en-US"/>
        </w:rPr>
        <w:t>专业课教学态度</w:t>
      </w:r>
      <w:r>
        <w:rPr>
          <w:lang w:val="en-US"/>
        </w:rPr>
        <w:t>+</w:t>
      </w:r>
      <w:r>
        <w:rPr>
          <w:rFonts w:hint="eastAsia"/>
          <w:lang w:val="en-US"/>
        </w:rPr>
        <w:t>公共课教学态度</w:t>
      </w:r>
      <w:r>
        <w:rPr>
          <w:lang w:val="en-US"/>
        </w:rPr>
        <w:t>+</w:t>
      </w:r>
      <w:r>
        <w:rPr>
          <w:rFonts w:hint="eastAsia"/>
          <w:lang w:val="en-US"/>
        </w:rPr>
        <w:t>公共课教学水平）</w:t>
      </w:r>
      <w:r>
        <w:rPr>
          <w:lang w:val="en-US"/>
        </w:rPr>
        <w:t>/4</w:t>
      </w:r>
      <w:r>
        <w:rPr>
          <w:rFonts w:hint="eastAsia"/>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r>
      <w:rPr>
        <w:lang w:val="en-US"/>
      </w:rPr>
      <w:drawing>
        <wp:inline distT="0" distB="0" distL="0" distR="0">
          <wp:extent cx="5581015" cy="166370"/>
          <wp:effectExtent l="0" t="0" r="0" b="5080"/>
          <wp:docPr id="960" name="图片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图片 96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813052" cy="17372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tabs>
        <w:tab w:val="center" w:pos="4394"/>
        <w:tab w:val="left" w:pos="6090"/>
      </w:tabs>
      <w:jc w:val="left"/>
    </w:pPr>
    <w:r>
      <w:rPr>
        <w:lang w:val="en-US"/>
      </w:rPr>
      <w:drawing>
        <wp:inline distT="0" distB="0" distL="0" distR="0">
          <wp:extent cx="5580380" cy="165735"/>
          <wp:effectExtent l="0" t="0" r="0" b="5715"/>
          <wp:docPr id="962" name="图片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图片 96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580380" cy="166351"/>
                  </a:xfrm>
                  <a:prstGeom prst="rect">
                    <a:avLst/>
                  </a:prstGeom>
                </pic:spPr>
              </pic:pic>
            </a:graphicData>
          </a:graphic>
        </wp:inline>
      </w:drawing>
    </w:r>
  </w:p>
  <w:p>
    <w:pPr>
      <w:pStyle w:val="20"/>
      <w:pBdr>
        <w:bottom w:val="none" w:color="auto" w:sz="0" w:space="0"/>
      </w:pBdr>
      <w:tabs>
        <w:tab w:val="center" w:pos="4394"/>
        <w:tab w:val="left" w:pos="6090"/>
      </w:tabs>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rFonts w:asciiTheme="minorEastAsia" w:hAnsiTheme="minorEastAsia" w:eastAsiaTheme="minorEastAsia"/>
      </w:rPr>
    </w:pPr>
    <w:r>
      <w:rPr>
        <w:rFonts w:ascii="Times New Roman" w:hAnsi="Times New Roman"/>
      </w:rPr>
      <w:t>2019届</w:t>
    </w:r>
    <w:r>
      <w:rPr>
        <w:rFonts w:ascii="Times New Roman" w:hAnsi="Times New Roman" w:eastAsiaTheme="minorEastAsia"/>
      </w:rPr>
      <w:t>毕业</w:t>
    </w:r>
    <w:r>
      <w:rPr>
        <w:rFonts w:asciiTheme="minorEastAsia" w:hAnsiTheme="minorEastAsia" w:eastAsiaTheme="minorEastAsia"/>
      </w:rPr>
      <w:t>生就业质量</w:t>
    </w:r>
    <w:r>
      <w:rPr>
        <w:rFonts w:hint="eastAsia" w:asciiTheme="minorEastAsia" w:hAnsiTheme="minorEastAsia" w:eastAsiaTheme="minorEastAsia"/>
      </w:rPr>
      <w:t>年度</w:t>
    </w:r>
    <w:r>
      <w:rPr>
        <w:rFonts w:asciiTheme="minorEastAsia" w:hAnsiTheme="minorEastAsia" w:eastAsiaTheme="minorEastAsia"/>
      </w:rPr>
      <w:t>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val="1"/>
  <w:bordersDoNotSurroundHeader w:val="1"/>
  <w:bordersDoNotSurroundFooter w:val="1"/>
  <w:hideSpellingErrors/>
  <w:documentProtection w:enforcement="0"/>
  <w:defaultTabStop w:val="420"/>
  <w:drawingGridHorizontalSpacing w:val="10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3E5"/>
    <w:rsid w:val="00000334"/>
    <w:rsid w:val="000007DC"/>
    <w:rsid w:val="00000B6D"/>
    <w:rsid w:val="00000D08"/>
    <w:rsid w:val="00002810"/>
    <w:rsid w:val="00002954"/>
    <w:rsid w:val="00002B12"/>
    <w:rsid w:val="00002DB4"/>
    <w:rsid w:val="00003E3C"/>
    <w:rsid w:val="00004466"/>
    <w:rsid w:val="00004656"/>
    <w:rsid w:val="00004776"/>
    <w:rsid w:val="00004DBB"/>
    <w:rsid w:val="000052D7"/>
    <w:rsid w:val="000055F0"/>
    <w:rsid w:val="00005CBA"/>
    <w:rsid w:val="000062F9"/>
    <w:rsid w:val="00006B72"/>
    <w:rsid w:val="00007EC6"/>
    <w:rsid w:val="000102A6"/>
    <w:rsid w:val="00010510"/>
    <w:rsid w:val="00010F1D"/>
    <w:rsid w:val="00011731"/>
    <w:rsid w:val="000125F1"/>
    <w:rsid w:val="000128F5"/>
    <w:rsid w:val="00013FE8"/>
    <w:rsid w:val="0001420F"/>
    <w:rsid w:val="0001448F"/>
    <w:rsid w:val="00014C28"/>
    <w:rsid w:val="00015051"/>
    <w:rsid w:val="000153C0"/>
    <w:rsid w:val="00015854"/>
    <w:rsid w:val="00015A2F"/>
    <w:rsid w:val="00015C34"/>
    <w:rsid w:val="00015C76"/>
    <w:rsid w:val="000164BD"/>
    <w:rsid w:val="0001651A"/>
    <w:rsid w:val="00016EDB"/>
    <w:rsid w:val="00017031"/>
    <w:rsid w:val="000175F5"/>
    <w:rsid w:val="0001774D"/>
    <w:rsid w:val="0001776E"/>
    <w:rsid w:val="00017AD3"/>
    <w:rsid w:val="0002007D"/>
    <w:rsid w:val="00020137"/>
    <w:rsid w:val="0002025B"/>
    <w:rsid w:val="000214CC"/>
    <w:rsid w:val="00021C6E"/>
    <w:rsid w:val="00022780"/>
    <w:rsid w:val="00022C3B"/>
    <w:rsid w:val="00023967"/>
    <w:rsid w:val="0002445B"/>
    <w:rsid w:val="00024E8A"/>
    <w:rsid w:val="00024F55"/>
    <w:rsid w:val="00026BE0"/>
    <w:rsid w:val="0002720D"/>
    <w:rsid w:val="00027B59"/>
    <w:rsid w:val="000306C9"/>
    <w:rsid w:val="00030D5A"/>
    <w:rsid w:val="00031249"/>
    <w:rsid w:val="00031904"/>
    <w:rsid w:val="00031D55"/>
    <w:rsid w:val="000327CA"/>
    <w:rsid w:val="00032FAB"/>
    <w:rsid w:val="00033334"/>
    <w:rsid w:val="000333D0"/>
    <w:rsid w:val="00033E57"/>
    <w:rsid w:val="00033E86"/>
    <w:rsid w:val="00033E97"/>
    <w:rsid w:val="00034410"/>
    <w:rsid w:val="00034495"/>
    <w:rsid w:val="0003529E"/>
    <w:rsid w:val="000366A2"/>
    <w:rsid w:val="000367AB"/>
    <w:rsid w:val="0003687F"/>
    <w:rsid w:val="00036F90"/>
    <w:rsid w:val="000372F2"/>
    <w:rsid w:val="00037335"/>
    <w:rsid w:val="00037925"/>
    <w:rsid w:val="000401DF"/>
    <w:rsid w:val="00040632"/>
    <w:rsid w:val="0004108C"/>
    <w:rsid w:val="0004173B"/>
    <w:rsid w:val="0004246F"/>
    <w:rsid w:val="00043EEE"/>
    <w:rsid w:val="000451B3"/>
    <w:rsid w:val="0004581B"/>
    <w:rsid w:val="00046208"/>
    <w:rsid w:val="0004641A"/>
    <w:rsid w:val="000464DF"/>
    <w:rsid w:val="00046C71"/>
    <w:rsid w:val="00046E07"/>
    <w:rsid w:val="000470EC"/>
    <w:rsid w:val="000475AB"/>
    <w:rsid w:val="00047FAF"/>
    <w:rsid w:val="00050047"/>
    <w:rsid w:val="00050331"/>
    <w:rsid w:val="00050BB9"/>
    <w:rsid w:val="000519D0"/>
    <w:rsid w:val="00051C85"/>
    <w:rsid w:val="00051DDA"/>
    <w:rsid w:val="00052579"/>
    <w:rsid w:val="000525C9"/>
    <w:rsid w:val="00052C06"/>
    <w:rsid w:val="00052FC6"/>
    <w:rsid w:val="00053554"/>
    <w:rsid w:val="00053B95"/>
    <w:rsid w:val="000541F2"/>
    <w:rsid w:val="00054621"/>
    <w:rsid w:val="00054761"/>
    <w:rsid w:val="00054EA5"/>
    <w:rsid w:val="0005545F"/>
    <w:rsid w:val="000564E0"/>
    <w:rsid w:val="00056DC0"/>
    <w:rsid w:val="00057193"/>
    <w:rsid w:val="00060952"/>
    <w:rsid w:val="00060B37"/>
    <w:rsid w:val="0006102A"/>
    <w:rsid w:val="000611A6"/>
    <w:rsid w:val="000612A3"/>
    <w:rsid w:val="00061883"/>
    <w:rsid w:val="000623FF"/>
    <w:rsid w:val="00062A83"/>
    <w:rsid w:val="00062FB6"/>
    <w:rsid w:val="00063059"/>
    <w:rsid w:val="00063861"/>
    <w:rsid w:val="00063AE0"/>
    <w:rsid w:val="00063FE0"/>
    <w:rsid w:val="00064C2F"/>
    <w:rsid w:val="00064C99"/>
    <w:rsid w:val="0006521C"/>
    <w:rsid w:val="000656AB"/>
    <w:rsid w:val="000660FF"/>
    <w:rsid w:val="00066101"/>
    <w:rsid w:val="00066342"/>
    <w:rsid w:val="00066DAE"/>
    <w:rsid w:val="00066E22"/>
    <w:rsid w:val="0006759B"/>
    <w:rsid w:val="00067FCD"/>
    <w:rsid w:val="000706B2"/>
    <w:rsid w:val="00070B69"/>
    <w:rsid w:val="00070F10"/>
    <w:rsid w:val="00071021"/>
    <w:rsid w:val="000710D0"/>
    <w:rsid w:val="00071435"/>
    <w:rsid w:val="000718C3"/>
    <w:rsid w:val="0007216E"/>
    <w:rsid w:val="0007233C"/>
    <w:rsid w:val="00072640"/>
    <w:rsid w:val="00072B75"/>
    <w:rsid w:val="00072C03"/>
    <w:rsid w:val="00073057"/>
    <w:rsid w:val="000734B4"/>
    <w:rsid w:val="0007360E"/>
    <w:rsid w:val="000738C7"/>
    <w:rsid w:val="000756AE"/>
    <w:rsid w:val="00075A4A"/>
    <w:rsid w:val="00076E10"/>
    <w:rsid w:val="00077D79"/>
    <w:rsid w:val="000816AA"/>
    <w:rsid w:val="00081F34"/>
    <w:rsid w:val="0008229E"/>
    <w:rsid w:val="00082642"/>
    <w:rsid w:val="00082AD7"/>
    <w:rsid w:val="00082B61"/>
    <w:rsid w:val="00082C25"/>
    <w:rsid w:val="00083008"/>
    <w:rsid w:val="00083149"/>
    <w:rsid w:val="00083989"/>
    <w:rsid w:val="00083E76"/>
    <w:rsid w:val="00083FDD"/>
    <w:rsid w:val="00084C50"/>
    <w:rsid w:val="000852C0"/>
    <w:rsid w:val="00085BCE"/>
    <w:rsid w:val="0008613D"/>
    <w:rsid w:val="0008637F"/>
    <w:rsid w:val="0008699A"/>
    <w:rsid w:val="00086E80"/>
    <w:rsid w:val="00087101"/>
    <w:rsid w:val="000874A3"/>
    <w:rsid w:val="00087CB0"/>
    <w:rsid w:val="00087D8D"/>
    <w:rsid w:val="00087E87"/>
    <w:rsid w:val="00090301"/>
    <w:rsid w:val="00090564"/>
    <w:rsid w:val="0009081F"/>
    <w:rsid w:val="00090CC3"/>
    <w:rsid w:val="00091204"/>
    <w:rsid w:val="000917BE"/>
    <w:rsid w:val="00091BC1"/>
    <w:rsid w:val="00092A51"/>
    <w:rsid w:val="00092FD1"/>
    <w:rsid w:val="00093073"/>
    <w:rsid w:val="00093136"/>
    <w:rsid w:val="000938ED"/>
    <w:rsid w:val="00093B87"/>
    <w:rsid w:val="00093C14"/>
    <w:rsid w:val="00093C4E"/>
    <w:rsid w:val="00093CCD"/>
    <w:rsid w:val="000944CC"/>
    <w:rsid w:val="00094F64"/>
    <w:rsid w:val="000953BE"/>
    <w:rsid w:val="00095666"/>
    <w:rsid w:val="0009612F"/>
    <w:rsid w:val="00096C6F"/>
    <w:rsid w:val="00096E71"/>
    <w:rsid w:val="00096EDF"/>
    <w:rsid w:val="0009740F"/>
    <w:rsid w:val="00097763"/>
    <w:rsid w:val="00097B4C"/>
    <w:rsid w:val="00097DF1"/>
    <w:rsid w:val="00097DFB"/>
    <w:rsid w:val="000A10B0"/>
    <w:rsid w:val="000A16D0"/>
    <w:rsid w:val="000A2028"/>
    <w:rsid w:val="000A228B"/>
    <w:rsid w:val="000A2730"/>
    <w:rsid w:val="000A2C21"/>
    <w:rsid w:val="000A2DC0"/>
    <w:rsid w:val="000A314C"/>
    <w:rsid w:val="000A42AA"/>
    <w:rsid w:val="000A4490"/>
    <w:rsid w:val="000A4AF7"/>
    <w:rsid w:val="000A5522"/>
    <w:rsid w:val="000A5B17"/>
    <w:rsid w:val="000A6792"/>
    <w:rsid w:val="000A68F2"/>
    <w:rsid w:val="000A69CF"/>
    <w:rsid w:val="000A722D"/>
    <w:rsid w:val="000A7954"/>
    <w:rsid w:val="000B03E5"/>
    <w:rsid w:val="000B07B9"/>
    <w:rsid w:val="000B09FF"/>
    <w:rsid w:val="000B0B6B"/>
    <w:rsid w:val="000B0DB6"/>
    <w:rsid w:val="000B0FCB"/>
    <w:rsid w:val="000B12C3"/>
    <w:rsid w:val="000B192A"/>
    <w:rsid w:val="000B1F12"/>
    <w:rsid w:val="000B24A8"/>
    <w:rsid w:val="000B25E4"/>
    <w:rsid w:val="000B2CC6"/>
    <w:rsid w:val="000B2CF3"/>
    <w:rsid w:val="000B493C"/>
    <w:rsid w:val="000B4A34"/>
    <w:rsid w:val="000B5D40"/>
    <w:rsid w:val="000B639B"/>
    <w:rsid w:val="000B67AF"/>
    <w:rsid w:val="000B70E6"/>
    <w:rsid w:val="000B7381"/>
    <w:rsid w:val="000B7F33"/>
    <w:rsid w:val="000C02DC"/>
    <w:rsid w:val="000C0A01"/>
    <w:rsid w:val="000C0D90"/>
    <w:rsid w:val="000C13D6"/>
    <w:rsid w:val="000C17CB"/>
    <w:rsid w:val="000C1C57"/>
    <w:rsid w:val="000C2926"/>
    <w:rsid w:val="000C2B52"/>
    <w:rsid w:val="000C2E04"/>
    <w:rsid w:val="000C301D"/>
    <w:rsid w:val="000C3DC1"/>
    <w:rsid w:val="000C55E7"/>
    <w:rsid w:val="000C5720"/>
    <w:rsid w:val="000C5794"/>
    <w:rsid w:val="000C632D"/>
    <w:rsid w:val="000C68FD"/>
    <w:rsid w:val="000C6ED4"/>
    <w:rsid w:val="000C6F13"/>
    <w:rsid w:val="000C6F86"/>
    <w:rsid w:val="000C70B3"/>
    <w:rsid w:val="000C7694"/>
    <w:rsid w:val="000C7697"/>
    <w:rsid w:val="000C7B64"/>
    <w:rsid w:val="000D081F"/>
    <w:rsid w:val="000D0851"/>
    <w:rsid w:val="000D0B87"/>
    <w:rsid w:val="000D130C"/>
    <w:rsid w:val="000D1FF5"/>
    <w:rsid w:val="000D2DCA"/>
    <w:rsid w:val="000D2E6A"/>
    <w:rsid w:val="000D2F1F"/>
    <w:rsid w:val="000D34C8"/>
    <w:rsid w:val="000D3C10"/>
    <w:rsid w:val="000D3C5E"/>
    <w:rsid w:val="000D3CAC"/>
    <w:rsid w:val="000D42EB"/>
    <w:rsid w:val="000D43B2"/>
    <w:rsid w:val="000D4631"/>
    <w:rsid w:val="000D4FF9"/>
    <w:rsid w:val="000D598D"/>
    <w:rsid w:val="000D5C9B"/>
    <w:rsid w:val="000D672F"/>
    <w:rsid w:val="000D685D"/>
    <w:rsid w:val="000D6AAB"/>
    <w:rsid w:val="000D6C03"/>
    <w:rsid w:val="000D7047"/>
    <w:rsid w:val="000E061C"/>
    <w:rsid w:val="000E06E6"/>
    <w:rsid w:val="000E0971"/>
    <w:rsid w:val="000E0A71"/>
    <w:rsid w:val="000E0BBE"/>
    <w:rsid w:val="000E1052"/>
    <w:rsid w:val="000E1460"/>
    <w:rsid w:val="000E17A3"/>
    <w:rsid w:val="000E1CCA"/>
    <w:rsid w:val="000E1FBA"/>
    <w:rsid w:val="000E2108"/>
    <w:rsid w:val="000E23CF"/>
    <w:rsid w:val="000E249F"/>
    <w:rsid w:val="000E3486"/>
    <w:rsid w:val="000E3B15"/>
    <w:rsid w:val="000E3C47"/>
    <w:rsid w:val="000E3C5C"/>
    <w:rsid w:val="000E4038"/>
    <w:rsid w:val="000E4275"/>
    <w:rsid w:val="000E4A06"/>
    <w:rsid w:val="000E4D1C"/>
    <w:rsid w:val="000E5272"/>
    <w:rsid w:val="000E5B11"/>
    <w:rsid w:val="000E5DA6"/>
    <w:rsid w:val="000E5F6F"/>
    <w:rsid w:val="000E74B3"/>
    <w:rsid w:val="000E76B9"/>
    <w:rsid w:val="000E7988"/>
    <w:rsid w:val="000F0697"/>
    <w:rsid w:val="000F07AB"/>
    <w:rsid w:val="000F0D5F"/>
    <w:rsid w:val="000F1C35"/>
    <w:rsid w:val="000F2F55"/>
    <w:rsid w:val="000F31B3"/>
    <w:rsid w:val="000F366E"/>
    <w:rsid w:val="000F36DE"/>
    <w:rsid w:val="000F3B44"/>
    <w:rsid w:val="000F3C89"/>
    <w:rsid w:val="000F4A4F"/>
    <w:rsid w:val="000F4A80"/>
    <w:rsid w:val="000F4ADD"/>
    <w:rsid w:val="000F4F8A"/>
    <w:rsid w:val="000F5489"/>
    <w:rsid w:val="000F549A"/>
    <w:rsid w:val="000F5849"/>
    <w:rsid w:val="000F5FCC"/>
    <w:rsid w:val="000F613E"/>
    <w:rsid w:val="000F6328"/>
    <w:rsid w:val="000F6730"/>
    <w:rsid w:val="000F6A37"/>
    <w:rsid w:val="00100051"/>
    <w:rsid w:val="001018B3"/>
    <w:rsid w:val="001023C3"/>
    <w:rsid w:val="001029D0"/>
    <w:rsid w:val="00102ACA"/>
    <w:rsid w:val="00102AE9"/>
    <w:rsid w:val="00102BF3"/>
    <w:rsid w:val="0010318B"/>
    <w:rsid w:val="0010346C"/>
    <w:rsid w:val="00103BDD"/>
    <w:rsid w:val="001044DB"/>
    <w:rsid w:val="001046F6"/>
    <w:rsid w:val="0010529B"/>
    <w:rsid w:val="00105328"/>
    <w:rsid w:val="00105443"/>
    <w:rsid w:val="00105B2E"/>
    <w:rsid w:val="00105ECB"/>
    <w:rsid w:val="00106291"/>
    <w:rsid w:val="001062F5"/>
    <w:rsid w:val="00106894"/>
    <w:rsid w:val="001068D6"/>
    <w:rsid w:val="00107C71"/>
    <w:rsid w:val="00107EE9"/>
    <w:rsid w:val="001101BF"/>
    <w:rsid w:val="001106C5"/>
    <w:rsid w:val="0011070D"/>
    <w:rsid w:val="001107E3"/>
    <w:rsid w:val="001109F1"/>
    <w:rsid w:val="00110FB8"/>
    <w:rsid w:val="001112BD"/>
    <w:rsid w:val="0011130D"/>
    <w:rsid w:val="00112B82"/>
    <w:rsid w:val="001137CF"/>
    <w:rsid w:val="001147BD"/>
    <w:rsid w:val="00115395"/>
    <w:rsid w:val="00115641"/>
    <w:rsid w:val="00116274"/>
    <w:rsid w:val="001162B4"/>
    <w:rsid w:val="00117C6E"/>
    <w:rsid w:val="00120BB7"/>
    <w:rsid w:val="001217CB"/>
    <w:rsid w:val="001235DA"/>
    <w:rsid w:val="0012381F"/>
    <w:rsid w:val="00123B75"/>
    <w:rsid w:val="00123C71"/>
    <w:rsid w:val="00123CCF"/>
    <w:rsid w:val="00123CF9"/>
    <w:rsid w:val="00124520"/>
    <w:rsid w:val="00124A6C"/>
    <w:rsid w:val="00124CE7"/>
    <w:rsid w:val="001250BB"/>
    <w:rsid w:val="00125199"/>
    <w:rsid w:val="001251AB"/>
    <w:rsid w:val="00125634"/>
    <w:rsid w:val="001257BA"/>
    <w:rsid w:val="00125B00"/>
    <w:rsid w:val="00125E26"/>
    <w:rsid w:val="001263B5"/>
    <w:rsid w:val="001263FE"/>
    <w:rsid w:val="00126567"/>
    <w:rsid w:val="00126948"/>
    <w:rsid w:val="00126B46"/>
    <w:rsid w:val="00126C11"/>
    <w:rsid w:val="0012748B"/>
    <w:rsid w:val="0012749E"/>
    <w:rsid w:val="00127753"/>
    <w:rsid w:val="00127DAF"/>
    <w:rsid w:val="001303F8"/>
    <w:rsid w:val="0013089A"/>
    <w:rsid w:val="0013097F"/>
    <w:rsid w:val="00130AAE"/>
    <w:rsid w:val="001310BD"/>
    <w:rsid w:val="001311EF"/>
    <w:rsid w:val="0013169D"/>
    <w:rsid w:val="00131C15"/>
    <w:rsid w:val="00132153"/>
    <w:rsid w:val="00132F90"/>
    <w:rsid w:val="00133EDB"/>
    <w:rsid w:val="00133F31"/>
    <w:rsid w:val="00134086"/>
    <w:rsid w:val="001344BF"/>
    <w:rsid w:val="001344CC"/>
    <w:rsid w:val="00134FF2"/>
    <w:rsid w:val="00135176"/>
    <w:rsid w:val="00135BE9"/>
    <w:rsid w:val="00135F57"/>
    <w:rsid w:val="00137AAB"/>
    <w:rsid w:val="00137DC5"/>
    <w:rsid w:val="00137FCB"/>
    <w:rsid w:val="001402A0"/>
    <w:rsid w:val="001409A7"/>
    <w:rsid w:val="00140B39"/>
    <w:rsid w:val="00140C76"/>
    <w:rsid w:val="0014184C"/>
    <w:rsid w:val="00141F59"/>
    <w:rsid w:val="00142122"/>
    <w:rsid w:val="0014221C"/>
    <w:rsid w:val="00142429"/>
    <w:rsid w:val="00142600"/>
    <w:rsid w:val="00142CEC"/>
    <w:rsid w:val="00142D7A"/>
    <w:rsid w:val="001438C9"/>
    <w:rsid w:val="00143B62"/>
    <w:rsid w:val="00143CEC"/>
    <w:rsid w:val="00143F7C"/>
    <w:rsid w:val="0014413D"/>
    <w:rsid w:val="001441D2"/>
    <w:rsid w:val="00144914"/>
    <w:rsid w:val="00145250"/>
    <w:rsid w:val="00145AF7"/>
    <w:rsid w:val="00145CA9"/>
    <w:rsid w:val="00145EA2"/>
    <w:rsid w:val="00145FF1"/>
    <w:rsid w:val="001468E9"/>
    <w:rsid w:val="00146B25"/>
    <w:rsid w:val="0014704E"/>
    <w:rsid w:val="001472AB"/>
    <w:rsid w:val="001474A6"/>
    <w:rsid w:val="001475E9"/>
    <w:rsid w:val="001476AD"/>
    <w:rsid w:val="00147C43"/>
    <w:rsid w:val="00147FB7"/>
    <w:rsid w:val="0015014C"/>
    <w:rsid w:val="0015023D"/>
    <w:rsid w:val="00150430"/>
    <w:rsid w:val="00150AC2"/>
    <w:rsid w:val="00151041"/>
    <w:rsid w:val="0015140C"/>
    <w:rsid w:val="0015146D"/>
    <w:rsid w:val="001515B4"/>
    <w:rsid w:val="0015179F"/>
    <w:rsid w:val="0015186D"/>
    <w:rsid w:val="00151908"/>
    <w:rsid w:val="001519E4"/>
    <w:rsid w:val="00151DC4"/>
    <w:rsid w:val="00152199"/>
    <w:rsid w:val="00152AF0"/>
    <w:rsid w:val="00153EDE"/>
    <w:rsid w:val="00154667"/>
    <w:rsid w:val="00154798"/>
    <w:rsid w:val="00154CCB"/>
    <w:rsid w:val="00154F86"/>
    <w:rsid w:val="00155C75"/>
    <w:rsid w:val="00156C2B"/>
    <w:rsid w:val="0015733D"/>
    <w:rsid w:val="0015751E"/>
    <w:rsid w:val="00160B1D"/>
    <w:rsid w:val="00160D6E"/>
    <w:rsid w:val="00160F27"/>
    <w:rsid w:val="00160FC6"/>
    <w:rsid w:val="001610CB"/>
    <w:rsid w:val="00161187"/>
    <w:rsid w:val="00161407"/>
    <w:rsid w:val="00161B41"/>
    <w:rsid w:val="00161F24"/>
    <w:rsid w:val="00162023"/>
    <w:rsid w:val="00162453"/>
    <w:rsid w:val="00162969"/>
    <w:rsid w:val="0016357C"/>
    <w:rsid w:val="001636A9"/>
    <w:rsid w:val="001636BE"/>
    <w:rsid w:val="001637DC"/>
    <w:rsid w:val="001638EE"/>
    <w:rsid w:val="00163AB8"/>
    <w:rsid w:val="00163ADB"/>
    <w:rsid w:val="00163D62"/>
    <w:rsid w:val="0016445A"/>
    <w:rsid w:val="00164A0D"/>
    <w:rsid w:val="00164AD1"/>
    <w:rsid w:val="00164B6C"/>
    <w:rsid w:val="00164E42"/>
    <w:rsid w:val="00164F9B"/>
    <w:rsid w:val="0016577E"/>
    <w:rsid w:val="00166301"/>
    <w:rsid w:val="001678FD"/>
    <w:rsid w:val="00167BED"/>
    <w:rsid w:val="00167C25"/>
    <w:rsid w:val="001701CA"/>
    <w:rsid w:val="00170200"/>
    <w:rsid w:val="00170572"/>
    <w:rsid w:val="0017088C"/>
    <w:rsid w:val="001710D7"/>
    <w:rsid w:val="00171457"/>
    <w:rsid w:val="00171487"/>
    <w:rsid w:val="00171FC1"/>
    <w:rsid w:val="00172251"/>
    <w:rsid w:val="00172413"/>
    <w:rsid w:val="00172AD0"/>
    <w:rsid w:val="00172CF6"/>
    <w:rsid w:val="00172D6F"/>
    <w:rsid w:val="00172E9C"/>
    <w:rsid w:val="00173463"/>
    <w:rsid w:val="0017370F"/>
    <w:rsid w:val="001737C2"/>
    <w:rsid w:val="0017532B"/>
    <w:rsid w:val="00175634"/>
    <w:rsid w:val="00175848"/>
    <w:rsid w:val="00175882"/>
    <w:rsid w:val="00175D04"/>
    <w:rsid w:val="00175D07"/>
    <w:rsid w:val="001761CB"/>
    <w:rsid w:val="001766B8"/>
    <w:rsid w:val="00176907"/>
    <w:rsid w:val="001769E9"/>
    <w:rsid w:val="00176F40"/>
    <w:rsid w:val="00177029"/>
    <w:rsid w:val="00177288"/>
    <w:rsid w:val="001777BB"/>
    <w:rsid w:val="00177A1D"/>
    <w:rsid w:val="00177A67"/>
    <w:rsid w:val="00177FF9"/>
    <w:rsid w:val="001806D9"/>
    <w:rsid w:val="00180CEA"/>
    <w:rsid w:val="00181D3A"/>
    <w:rsid w:val="00182020"/>
    <w:rsid w:val="00182941"/>
    <w:rsid w:val="00182D70"/>
    <w:rsid w:val="00182EE8"/>
    <w:rsid w:val="0018337D"/>
    <w:rsid w:val="001836F3"/>
    <w:rsid w:val="001838A0"/>
    <w:rsid w:val="00184892"/>
    <w:rsid w:val="00184DD2"/>
    <w:rsid w:val="0018514D"/>
    <w:rsid w:val="0018552E"/>
    <w:rsid w:val="0018553B"/>
    <w:rsid w:val="00185A20"/>
    <w:rsid w:val="00185D9E"/>
    <w:rsid w:val="00185F72"/>
    <w:rsid w:val="00186007"/>
    <w:rsid w:val="00186040"/>
    <w:rsid w:val="00186066"/>
    <w:rsid w:val="001861F5"/>
    <w:rsid w:val="001869C2"/>
    <w:rsid w:val="001900C3"/>
    <w:rsid w:val="00190372"/>
    <w:rsid w:val="0019069A"/>
    <w:rsid w:val="001907DB"/>
    <w:rsid w:val="00190A70"/>
    <w:rsid w:val="001912EC"/>
    <w:rsid w:val="00191EE9"/>
    <w:rsid w:val="0019261F"/>
    <w:rsid w:val="00193FE5"/>
    <w:rsid w:val="0019407E"/>
    <w:rsid w:val="0019424C"/>
    <w:rsid w:val="00194BC2"/>
    <w:rsid w:val="00194CDB"/>
    <w:rsid w:val="00194EDF"/>
    <w:rsid w:val="00195202"/>
    <w:rsid w:val="00195206"/>
    <w:rsid w:val="00195531"/>
    <w:rsid w:val="00195B85"/>
    <w:rsid w:val="00195CC4"/>
    <w:rsid w:val="00196142"/>
    <w:rsid w:val="0019706D"/>
    <w:rsid w:val="00197C7A"/>
    <w:rsid w:val="00197DB1"/>
    <w:rsid w:val="00197E45"/>
    <w:rsid w:val="001A0786"/>
    <w:rsid w:val="001A1479"/>
    <w:rsid w:val="001A21BF"/>
    <w:rsid w:val="001A286C"/>
    <w:rsid w:val="001A2B49"/>
    <w:rsid w:val="001A3805"/>
    <w:rsid w:val="001A3E8E"/>
    <w:rsid w:val="001A3EE7"/>
    <w:rsid w:val="001A4CFE"/>
    <w:rsid w:val="001A5005"/>
    <w:rsid w:val="001A5512"/>
    <w:rsid w:val="001A62E4"/>
    <w:rsid w:val="001A6561"/>
    <w:rsid w:val="001A65FC"/>
    <w:rsid w:val="001A6751"/>
    <w:rsid w:val="001A6C3F"/>
    <w:rsid w:val="001A6F63"/>
    <w:rsid w:val="001A7F6E"/>
    <w:rsid w:val="001B07DB"/>
    <w:rsid w:val="001B0BEE"/>
    <w:rsid w:val="001B0C21"/>
    <w:rsid w:val="001B12CB"/>
    <w:rsid w:val="001B1F57"/>
    <w:rsid w:val="001B20D1"/>
    <w:rsid w:val="001B2649"/>
    <w:rsid w:val="001B282C"/>
    <w:rsid w:val="001B29EE"/>
    <w:rsid w:val="001B2BD6"/>
    <w:rsid w:val="001B33AD"/>
    <w:rsid w:val="001B3B27"/>
    <w:rsid w:val="001B3C65"/>
    <w:rsid w:val="001B3D74"/>
    <w:rsid w:val="001B3DF8"/>
    <w:rsid w:val="001B3EE9"/>
    <w:rsid w:val="001B44C6"/>
    <w:rsid w:val="001B5287"/>
    <w:rsid w:val="001B55AE"/>
    <w:rsid w:val="001B56B4"/>
    <w:rsid w:val="001B5708"/>
    <w:rsid w:val="001B650D"/>
    <w:rsid w:val="001B6847"/>
    <w:rsid w:val="001B6EA1"/>
    <w:rsid w:val="001B7105"/>
    <w:rsid w:val="001B720F"/>
    <w:rsid w:val="001B72D6"/>
    <w:rsid w:val="001C05D5"/>
    <w:rsid w:val="001C0AC7"/>
    <w:rsid w:val="001C14E7"/>
    <w:rsid w:val="001C1AFC"/>
    <w:rsid w:val="001C206D"/>
    <w:rsid w:val="001C29BD"/>
    <w:rsid w:val="001C307B"/>
    <w:rsid w:val="001C3423"/>
    <w:rsid w:val="001C34D7"/>
    <w:rsid w:val="001C3759"/>
    <w:rsid w:val="001C3CDA"/>
    <w:rsid w:val="001C4023"/>
    <w:rsid w:val="001C4395"/>
    <w:rsid w:val="001C5348"/>
    <w:rsid w:val="001C55C5"/>
    <w:rsid w:val="001C6620"/>
    <w:rsid w:val="001C6F3B"/>
    <w:rsid w:val="001C7CA5"/>
    <w:rsid w:val="001D01C9"/>
    <w:rsid w:val="001D0322"/>
    <w:rsid w:val="001D0A95"/>
    <w:rsid w:val="001D0E99"/>
    <w:rsid w:val="001D0F19"/>
    <w:rsid w:val="001D0F27"/>
    <w:rsid w:val="001D1BC3"/>
    <w:rsid w:val="001D1FE0"/>
    <w:rsid w:val="001D2A97"/>
    <w:rsid w:val="001D2D1A"/>
    <w:rsid w:val="001D3F67"/>
    <w:rsid w:val="001D4A85"/>
    <w:rsid w:val="001D52D6"/>
    <w:rsid w:val="001D55E5"/>
    <w:rsid w:val="001D599C"/>
    <w:rsid w:val="001D5CA1"/>
    <w:rsid w:val="001D5D15"/>
    <w:rsid w:val="001D6599"/>
    <w:rsid w:val="001D66A8"/>
    <w:rsid w:val="001D6729"/>
    <w:rsid w:val="001D6D51"/>
    <w:rsid w:val="001D6FAE"/>
    <w:rsid w:val="001D7A06"/>
    <w:rsid w:val="001D7FEA"/>
    <w:rsid w:val="001E058F"/>
    <w:rsid w:val="001E06AA"/>
    <w:rsid w:val="001E07BA"/>
    <w:rsid w:val="001E1317"/>
    <w:rsid w:val="001E19BA"/>
    <w:rsid w:val="001E1BEA"/>
    <w:rsid w:val="001E1C25"/>
    <w:rsid w:val="001E22FB"/>
    <w:rsid w:val="001E265B"/>
    <w:rsid w:val="001E2803"/>
    <w:rsid w:val="001E2D41"/>
    <w:rsid w:val="001E37C7"/>
    <w:rsid w:val="001E4BDF"/>
    <w:rsid w:val="001E62AD"/>
    <w:rsid w:val="001E75A2"/>
    <w:rsid w:val="001E75FD"/>
    <w:rsid w:val="001E775C"/>
    <w:rsid w:val="001E7D15"/>
    <w:rsid w:val="001F0221"/>
    <w:rsid w:val="001F045A"/>
    <w:rsid w:val="001F061C"/>
    <w:rsid w:val="001F0638"/>
    <w:rsid w:val="001F0B61"/>
    <w:rsid w:val="001F12DC"/>
    <w:rsid w:val="001F13B6"/>
    <w:rsid w:val="001F1D22"/>
    <w:rsid w:val="001F2C37"/>
    <w:rsid w:val="001F3A8F"/>
    <w:rsid w:val="001F5481"/>
    <w:rsid w:val="001F6472"/>
    <w:rsid w:val="001F6933"/>
    <w:rsid w:val="001F7530"/>
    <w:rsid w:val="001F7726"/>
    <w:rsid w:val="001F7763"/>
    <w:rsid w:val="001F7915"/>
    <w:rsid w:val="001F7BB3"/>
    <w:rsid w:val="001F7F01"/>
    <w:rsid w:val="00200FB3"/>
    <w:rsid w:val="002010A1"/>
    <w:rsid w:val="002017ED"/>
    <w:rsid w:val="00201878"/>
    <w:rsid w:val="002022A6"/>
    <w:rsid w:val="002027D6"/>
    <w:rsid w:val="00202815"/>
    <w:rsid w:val="0020292C"/>
    <w:rsid w:val="00202E01"/>
    <w:rsid w:val="002039C2"/>
    <w:rsid w:val="00203B6D"/>
    <w:rsid w:val="00203BEA"/>
    <w:rsid w:val="00203FCC"/>
    <w:rsid w:val="002045AE"/>
    <w:rsid w:val="00205676"/>
    <w:rsid w:val="00205777"/>
    <w:rsid w:val="00205F89"/>
    <w:rsid w:val="0020612B"/>
    <w:rsid w:val="0020684A"/>
    <w:rsid w:val="00206E6A"/>
    <w:rsid w:val="00207354"/>
    <w:rsid w:val="00207731"/>
    <w:rsid w:val="00211190"/>
    <w:rsid w:val="00211263"/>
    <w:rsid w:val="00211656"/>
    <w:rsid w:val="00212693"/>
    <w:rsid w:val="00212713"/>
    <w:rsid w:val="0021293D"/>
    <w:rsid w:val="002131F0"/>
    <w:rsid w:val="00213A5D"/>
    <w:rsid w:val="00214208"/>
    <w:rsid w:val="002144D5"/>
    <w:rsid w:val="00214831"/>
    <w:rsid w:val="00214FC4"/>
    <w:rsid w:val="002156FF"/>
    <w:rsid w:val="00215804"/>
    <w:rsid w:val="00215AA8"/>
    <w:rsid w:val="00215F6D"/>
    <w:rsid w:val="00215F95"/>
    <w:rsid w:val="002161F5"/>
    <w:rsid w:val="00216278"/>
    <w:rsid w:val="0021704F"/>
    <w:rsid w:val="002171CA"/>
    <w:rsid w:val="002177BB"/>
    <w:rsid w:val="00217BC2"/>
    <w:rsid w:val="0022037A"/>
    <w:rsid w:val="002204D8"/>
    <w:rsid w:val="00220EF6"/>
    <w:rsid w:val="00220F07"/>
    <w:rsid w:val="00221B14"/>
    <w:rsid w:val="00221BE8"/>
    <w:rsid w:val="00221D73"/>
    <w:rsid w:val="00221F4A"/>
    <w:rsid w:val="00221F64"/>
    <w:rsid w:val="002220A5"/>
    <w:rsid w:val="00222872"/>
    <w:rsid w:val="00222B5D"/>
    <w:rsid w:val="00222E0C"/>
    <w:rsid w:val="00223739"/>
    <w:rsid w:val="00224290"/>
    <w:rsid w:val="002243CF"/>
    <w:rsid w:val="002249F4"/>
    <w:rsid w:val="00224FCC"/>
    <w:rsid w:val="0022566C"/>
    <w:rsid w:val="0022582E"/>
    <w:rsid w:val="00225E61"/>
    <w:rsid w:val="0022640F"/>
    <w:rsid w:val="00226C08"/>
    <w:rsid w:val="00226E5A"/>
    <w:rsid w:val="002310A4"/>
    <w:rsid w:val="002317EB"/>
    <w:rsid w:val="00232206"/>
    <w:rsid w:val="00232247"/>
    <w:rsid w:val="00232434"/>
    <w:rsid w:val="00232658"/>
    <w:rsid w:val="002326D6"/>
    <w:rsid w:val="00232A6F"/>
    <w:rsid w:val="00235211"/>
    <w:rsid w:val="002352C5"/>
    <w:rsid w:val="00235596"/>
    <w:rsid w:val="002356AE"/>
    <w:rsid w:val="0023586E"/>
    <w:rsid w:val="00235E80"/>
    <w:rsid w:val="00235FEF"/>
    <w:rsid w:val="002361C8"/>
    <w:rsid w:val="00236286"/>
    <w:rsid w:val="002362D6"/>
    <w:rsid w:val="002366CC"/>
    <w:rsid w:val="00237D6C"/>
    <w:rsid w:val="0024080B"/>
    <w:rsid w:val="00240BE6"/>
    <w:rsid w:val="0024110F"/>
    <w:rsid w:val="00241D5B"/>
    <w:rsid w:val="00242131"/>
    <w:rsid w:val="00242424"/>
    <w:rsid w:val="00242489"/>
    <w:rsid w:val="0024259C"/>
    <w:rsid w:val="00242766"/>
    <w:rsid w:val="00242C87"/>
    <w:rsid w:val="00243371"/>
    <w:rsid w:val="002433B8"/>
    <w:rsid w:val="002442F1"/>
    <w:rsid w:val="00244C55"/>
    <w:rsid w:val="00244CEE"/>
    <w:rsid w:val="00244E63"/>
    <w:rsid w:val="0024554A"/>
    <w:rsid w:val="00245805"/>
    <w:rsid w:val="00245D64"/>
    <w:rsid w:val="00246184"/>
    <w:rsid w:val="00246334"/>
    <w:rsid w:val="0024653B"/>
    <w:rsid w:val="002467B2"/>
    <w:rsid w:val="00246800"/>
    <w:rsid w:val="00246B65"/>
    <w:rsid w:val="00246BEA"/>
    <w:rsid w:val="00247939"/>
    <w:rsid w:val="00247A9F"/>
    <w:rsid w:val="002502C4"/>
    <w:rsid w:val="00250888"/>
    <w:rsid w:val="0025123B"/>
    <w:rsid w:val="00251258"/>
    <w:rsid w:val="00251976"/>
    <w:rsid w:val="00251ADE"/>
    <w:rsid w:val="00252169"/>
    <w:rsid w:val="002534C3"/>
    <w:rsid w:val="00253529"/>
    <w:rsid w:val="00253B53"/>
    <w:rsid w:val="00253E79"/>
    <w:rsid w:val="00254286"/>
    <w:rsid w:val="00254C71"/>
    <w:rsid w:val="00255001"/>
    <w:rsid w:val="00255884"/>
    <w:rsid w:val="00255C35"/>
    <w:rsid w:val="00256CF0"/>
    <w:rsid w:val="00257340"/>
    <w:rsid w:val="002603CE"/>
    <w:rsid w:val="00260520"/>
    <w:rsid w:val="002606AF"/>
    <w:rsid w:val="0026192E"/>
    <w:rsid w:val="00261CD9"/>
    <w:rsid w:val="00261E45"/>
    <w:rsid w:val="00262BBC"/>
    <w:rsid w:val="0026314D"/>
    <w:rsid w:val="00263904"/>
    <w:rsid w:val="00263C65"/>
    <w:rsid w:val="00263D7F"/>
    <w:rsid w:val="002640B7"/>
    <w:rsid w:val="00264BB4"/>
    <w:rsid w:val="00264D03"/>
    <w:rsid w:val="002656E4"/>
    <w:rsid w:val="00265B6E"/>
    <w:rsid w:val="002660C5"/>
    <w:rsid w:val="00266883"/>
    <w:rsid w:val="00266D53"/>
    <w:rsid w:val="00267188"/>
    <w:rsid w:val="002673AE"/>
    <w:rsid w:val="00267520"/>
    <w:rsid w:val="00267887"/>
    <w:rsid w:val="0026790F"/>
    <w:rsid w:val="00270849"/>
    <w:rsid w:val="00271460"/>
    <w:rsid w:val="0027163F"/>
    <w:rsid w:val="002722BC"/>
    <w:rsid w:val="002727A4"/>
    <w:rsid w:val="00272978"/>
    <w:rsid w:val="0027437B"/>
    <w:rsid w:val="0027465A"/>
    <w:rsid w:val="00275169"/>
    <w:rsid w:val="002752EA"/>
    <w:rsid w:val="00275B06"/>
    <w:rsid w:val="002763AD"/>
    <w:rsid w:val="00276579"/>
    <w:rsid w:val="002769F6"/>
    <w:rsid w:val="002774CB"/>
    <w:rsid w:val="00277A60"/>
    <w:rsid w:val="002803FF"/>
    <w:rsid w:val="00281A5B"/>
    <w:rsid w:val="00282BE0"/>
    <w:rsid w:val="00282E12"/>
    <w:rsid w:val="002830BA"/>
    <w:rsid w:val="002836CE"/>
    <w:rsid w:val="002843D8"/>
    <w:rsid w:val="00284D4E"/>
    <w:rsid w:val="002850C1"/>
    <w:rsid w:val="00285ACA"/>
    <w:rsid w:val="00285CE2"/>
    <w:rsid w:val="0028618F"/>
    <w:rsid w:val="00286EFC"/>
    <w:rsid w:val="002875C2"/>
    <w:rsid w:val="002875F7"/>
    <w:rsid w:val="00287906"/>
    <w:rsid w:val="0029075B"/>
    <w:rsid w:val="00290940"/>
    <w:rsid w:val="00290B1A"/>
    <w:rsid w:val="00290C90"/>
    <w:rsid w:val="00291126"/>
    <w:rsid w:val="00291C58"/>
    <w:rsid w:val="002925E5"/>
    <w:rsid w:val="00292657"/>
    <w:rsid w:val="002929C9"/>
    <w:rsid w:val="00292C96"/>
    <w:rsid w:val="00292F34"/>
    <w:rsid w:val="0029338B"/>
    <w:rsid w:val="0029356E"/>
    <w:rsid w:val="00293609"/>
    <w:rsid w:val="00293BDB"/>
    <w:rsid w:val="0029589E"/>
    <w:rsid w:val="00295EB9"/>
    <w:rsid w:val="002963B2"/>
    <w:rsid w:val="0029656F"/>
    <w:rsid w:val="00296E12"/>
    <w:rsid w:val="00296F66"/>
    <w:rsid w:val="0029702E"/>
    <w:rsid w:val="00297045"/>
    <w:rsid w:val="002976E9"/>
    <w:rsid w:val="00297A74"/>
    <w:rsid w:val="00297B2F"/>
    <w:rsid w:val="00297C24"/>
    <w:rsid w:val="00297EB3"/>
    <w:rsid w:val="002A0456"/>
    <w:rsid w:val="002A0EEF"/>
    <w:rsid w:val="002A11CC"/>
    <w:rsid w:val="002A12AF"/>
    <w:rsid w:val="002A165E"/>
    <w:rsid w:val="002A17D1"/>
    <w:rsid w:val="002A1EE8"/>
    <w:rsid w:val="002A2216"/>
    <w:rsid w:val="002A2D9E"/>
    <w:rsid w:val="002A2FC6"/>
    <w:rsid w:val="002A341E"/>
    <w:rsid w:val="002A3B8F"/>
    <w:rsid w:val="002A3DF7"/>
    <w:rsid w:val="002A4A86"/>
    <w:rsid w:val="002A4E86"/>
    <w:rsid w:val="002A4ED5"/>
    <w:rsid w:val="002A546E"/>
    <w:rsid w:val="002A5FC7"/>
    <w:rsid w:val="002A6053"/>
    <w:rsid w:val="002A65A5"/>
    <w:rsid w:val="002A730B"/>
    <w:rsid w:val="002A74C4"/>
    <w:rsid w:val="002A7747"/>
    <w:rsid w:val="002A77FB"/>
    <w:rsid w:val="002A7844"/>
    <w:rsid w:val="002A7D2D"/>
    <w:rsid w:val="002B0B01"/>
    <w:rsid w:val="002B0D63"/>
    <w:rsid w:val="002B0E08"/>
    <w:rsid w:val="002B0F6C"/>
    <w:rsid w:val="002B0FEC"/>
    <w:rsid w:val="002B119E"/>
    <w:rsid w:val="002B276D"/>
    <w:rsid w:val="002B2C7F"/>
    <w:rsid w:val="002B316A"/>
    <w:rsid w:val="002B352C"/>
    <w:rsid w:val="002B3ABB"/>
    <w:rsid w:val="002B3B27"/>
    <w:rsid w:val="002B4904"/>
    <w:rsid w:val="002B4A1F"/>
    <w:rsid w:val="002B4E84"/>
    <w:rsid w:val="002B5A27"/>
    <w:rsid w:val="002B5E25"/>
    <w:rsid w:val="002B6E68"/>
    <w:rsid w:val="002B71AF"/>
    <w:rsid w:val="002B753F"/>
    <w:rsid w:val="002B7FA8"/>
    <w:rsid w:val="002C07D9"/>
    <w:rsid w:val="002C0AD2"/>
    <w:rsid w:val="002C1362"/>
    <w:rsid w:val="002C1F98"/>
    <w:rsid w:val="002C2F40"/>
    <w:rsid w:val="002C3D3F"/>
    <w:rsid w:val="002C43DE"/>
    <w:rsid w:val="002C4640"/>
    <w:rsid w:val="002C4F98"/>
    <w:rsid w:val="002C564A"/>
    <w:rsid w:val="002C61F0"/>
    <w:rsid w:val="002C669B"/>
    <w:rsid w:val="002C693A"/>
    <w:rsid w:val="002C6B7A"/>
    <w:rsid w:val="002C6D4F"/>
    <w:rsid w:val="002C772B"/>
    <w:rsid w:val="002D0034"/>
    <w:rsid w:val="002D04B6"/>
    <w:rsid w:val="002D06BA"/>
    <w:rsid w:val="002D1283"/>
    <w:rsid w:val="002D1D1C"/>
    <w:rsid w:val="002D2462"/>
    <w:rsid w:val="002D378D"/>
    <w:rsid w:val="002D3A16"/>
    <w:rsid w:val="002D3C07"/>
    <w:rsid w:val="002D3CBE"/>
    <w:rsid w:val="002D46EE"/>
    <w:rsid w:val="002D4FB0"/>
    <w:rsid w:val="002D4FB3"/>
    <w:rsid w:val="002D5516"/>
    <w:rsid w:val="002D5649"/>
    <w:rsid w:val="002D575A"/>
    <w:rsid w:val="002D58C5"/>
    <w:rsid w:val="002D5BFE"/>
    <w:rsid w:val="002D6461"/>
    <w:rsid w:val="002D683C"/>
    <w:rsid w:val="002D6F42"/>
    <w:rsid w:val="002D6F85"/>
    <w:rsid w:val="002D729F"/>
    <w:rsid w:val="002D74D9"/>
    <w:rsid w:val="002D77BD"/>
    <w:rsid w:val="002D7A38"/>
    <w:rsid w:val="002D7E2E"/>
    <w:rsid w:val="002E0537"/>
    <w:rsid w:val="002E07D0"/>
    <w:rsid w:val="002E0DE1"/>
    <w:rsid w:val="002E0FD9"/>
    <w:rsid w:val="002E123E"/>
    <w:rsid w:val="002E1446"/>
    <w:rsid w:val="002E1C8B"/>
    <w:rsid w:val="002E25DF"/>
    <w:rsid w:val="002E2D49"/>
    <w:rsid w:val="002E3AF5"/>
    <w:rsid w:val="002E3FF9"/>
    <w:rsid w:val="002E4517"/>
    <w:rsid w:val="002E4FAD"/>
    <w:rsid w:val="002E5A9A"/>
    <w:rsid w:val="002E6E6A"/>
    <w:rsid w:val="002E729B"/>
    <w:rsid w:val="002E7F18"/>
    <w:rsid w:val="002F07F2"/>
    <w:rsid w:val="002F1060"/>
    <w:rsid w:val="002F1579"/>
    <w:rsid w:val="002F16E2"/>
    <w:rsid w:val="002F1772"/>
    <w:rsid w:val="002F1ADA"/>
    <w:rsid w:val="002F1F4F"/>
    <w:rsid w:val="002F1FF7"/>
    <w:rsid w:val="002F3265"/>
    <w:rsid w:val="002F328C"/>
    <w:rsid w:val="002F3636"/>
    <w:rsid w:val="002F3F82"/>
    <w:rsid w:val="002F47D8"/>
    <w:rsid w:val="002F4A18"/>
    <w:rsid w:val="002F57F3"/>
    <w:rsid w:val="002F5E99"/>
    <w:rsid w:val="002F66BC"/>
    <w:rsid w:val="002F673C"/>
    <w:rsid w:val="002F6C88"/>
    <w:rsid w:val="002F7506"/>
    <w:rsid w:val="002F7551"/>
    <w:rsid w:val="002F763A"/>
    <w:rsid w:val="002F78A7"/>
    <w:rsid w:val="002F798D"/>
    <w:rsid w:val="002F7B00"/>
    <w:rsid w:val="002F7BA9"/>
    <w:rsid w:val="00301498"/>
    <w:rsid w:val="0030174A"/>
    <w:rsid w:val="003025A9"/>
    <w:rsid w:val="0030318B"/>
    <w:rsid w:val="003032AC"/>
    <w:rsid w:val="003036EF"/>
    <w:rsid w:val="003039BE"/>
    <w:rsid w:val="00303D5E"/>
    <w:rsid w:val="00303F96"/>
    <w:rsid w:val="0030422E"/>
    <w:rsid w:val="00304613"/>
    <w:rsid w:val="00304FA9"/>
    <w:rsid w:val="003050C3"/>
    <w:rsid w:val="00305563"/>
    <w:rsid w:val="003058F7"/>
    <w:rsid w:val="00305A8C"/>
    <w:rsid w:val="00305BE4"/>
    <w:rsid w:val="00306D9B"/>
    <w:rsid w:val="0031006E"/>
    <w:rsid w:val="003103C3"/>
    <w:rsid w:val="0031082C"/>
    <w:rsid w:val="00310F61"/>
    <w:rsid w:val="00311594"/>
    <w:rsid w:val="003118D3"/>
    <w:rsid w:val="0031195F"/>
    <w:rsid w:val="00312046"/>
    <w:rsid w:val="00312256"/>
    <w:rsid w:val="00312518"/>
    <w:rsid w:val="00312794"/>
    <w:rsid w:val="00312FC2"/>
    <w:rsid w:val="003136C7"/>
    <w:rsid w:val="00313DD7"/>
    <w:rsid w:val="0031406E"/>
    <w:rsid w:val="00314F55"/>
    <w:rsid w:val="003151F8"/>
    <w:rsid w:val="00315211"/>
    <w:rsid w:val="003152E4"/>
    <w:rsid w:val="00315593"/>
    <w:rsid w:val="0031611C"/>
    <w:rsid w:val="00316684"/>
    <w:rsid w:val="00316913"/>
    <w:rsid w:val="00316E8D"/>
    <w:rsid w:val="00316F3B"/>
    <w:rsid w:val="00317317"/>
    <w:rsid w:val="003173AA"/>
    <w:rsid w:val="003173F1"/>
    <w:rsid w:val="00317797"/>
    <w:rsid w:val="00317C83"/>
    <w:rsid w:val="0032053F"/>
    <w:rsid w:val="00320A35"/>
    <w:rsid w:val="00320AE7"/>
    <w:rsid w:val="00320AF0"/>
    <w:rsid w:val="0032112C"/>
    <w:rsid w:val="00321345"/>
    <w:rsid w:val="003218BC"/>
    <w:rsid w:val="00321DD6"/>
    <w:rsid w:val="00322194"/>
    <w:rsid w:val="003222B8"/>
    <w:rsid w:val="003231B3"/>
    <w:rsid w:val="003238E8"/>
    <w:rsid w:val="00324756"/>
    <w:rsid w:val="0032591B"/>
    <w:rsid w:val="00325C00"/>
    <w:rsid w:val="003263A6"/>
    <w:rsid w:val="003265F8"/>
    <w:rsid w:val="0032673D"/>
    <w:rsid w:val="00327403"/>
    <w:rsid w:val="003277BB"/>
    <w:rsid w:val="003303CB"/>
    <w:rsid w:val="0033056B"/>
    <w:rsid w:val="00330818"/>
    <w:rsid w:val="00330DAC"/>
    <w:rsid w:val="00331477"/>
    <w:rsid w:val="00331A54"/>
    <w:rsid w:val="00331B1D"/>
    <w:rsid w:val="00331E40"/>
    <w:rsid w:val="003338BC"/>
    <w:rsid w:val="003342AA"/>
    <w:rsid w:val="003343B9"/>
    <w:rsid w:val="003350E9"/>
    <w:rsid w:val="003350F8"/>
    <w:rsid w:val="00335DD4"/>
    <w:rsid w:val="003366E8"/>
    <w:rsid w:val="00336767"/>
    <w:rsid w:val="0033706E"/>
    <w:rsid w:val="00337438"/>
    <w:rsid w:val="00337595"/>
    <w:rsid w:val="003378AA"/>
    <w:rsid w:val="00337C5C"/>
    <w:rsid w:val="0034009D"/>
    <w:rsid w:val="0034026F"/>
    <w:rsid w:val="003404DC"/>
    <w:rsid w:val="00340A91"/>
    <w:rsid w:val="003415E3"/>
    <w:rsid w:val="0034277A"/>
    <w:rsid w:val="003428B4"/>
    <w:rsid w:val="00342F44"/>
    <w:rsid w:val="00343D36"/>
    <w:rsid w:val="00343E25"/>
    <w:rsid w:val="00343F19"/>
    <w:rsid w:val="00343FEE"/>
    <w:rsid w:val="003440F7"/>
    <w:rsid w:val="00344378"/>
    <w:rsid w:val="00344980"/>
    <w:rsid w:val="00344C4A"/>
    <w:rsid w:val="00344CC2"/>
    <w:rsid w:val="00345202"/>
    <w:rsid w:val="00345793"/>
    <w:rsid w:val="003469D2"/>
    <w:rsid w:val="00346CC8"/>
    <w:rsid w:val="00346E26"/>
    <w:rsid w:val="00347340"/>
    <w:rsid w:val="00347382"/>
    <w:rsid w:val="00347817"/>
    <w:rsid w:val="003478B6"/>
    <w:rsid w:val="0035011A"/>
    <w:rsid w:val="0035060D"/>
    <w:rsid w:val="00350BD1"/>
    <w:rsid w:val="00351FE6"/>
    <w:rsid w:val="003520C3"/>
    <w:rsid w:val="003523AC"/>
    <w:rsid w:val="00352D8A"/>
    <w:rsid w:val="0035302F"/>
    <w:rsid w:val="003530A4"/>
    <w:rsid w:val="00353686"/>
    <w:rsid w:val="00353AB8"/>
    <w:rsid w:val="00354502"/>
    <w:rsid w:val="0035470B"/>
    <w:rsid w:val="00354AC7"/>
    <w:rsid w:val="003553CF"/>
    <w:rsid w:val="003555D0"/>
    <w:rsid w:val="00355B52"/>
    <w:rsid w:val="00355D57"/>
    <w:rsid w:val="0035603D"/>
    <w:rsid w:val="0035622D"/>
    <w:rsid w:val="00356309"/>
    <w:rsid w:val="003569AB"/>
    <w:rsid w:val="00356C2C"/>
    <w:rsid w:val="00356D3D"/>
    <w:rsid w:val="00356D7E"/>
    <w:rsid w:val="00357349"/>
    <w:rsid w:val="00357909"/>
    <w:rsid w:val="00357A75"/>
    <w:rsid w:val="00357B36"/>
    <w:rsid w:val="00360010"/>
    <w:rsid w:val="00360721"/>
    <w:rsid w:val="00360E17"/>
    <w:rsid w:val="0036161A"/>
    <w:rsid w:val="003619A6"/>
    <w:rsid w:val="00362220"/>
    <w:rsid w:val="00362414"/>
    <w:rsid w:val="00362F79"/>
    <w:rsid w:val="003631C2"/>
    <w:rsid w:val="00363266"/>
    <w:rsid w:val="00363744"/>
    <w:rsid w:val="00363EF1"/>
    <w:rsid w:val="0036438B"/>
    <w:rsid w:val="00364A7C"/>
    <w:rsid w:val="00364B1C"/>
    <w:rsid w:val="00364ECB"/>
    <w:rsid w:val="003657B4"/>
    <w:rsid w:val="00365DE4"/>
    <w:rsid w:val="00365E63"/>
    <w:rsid w:val="00366C96"/>
    <w:rsid w:val="003676A6"/>
    <w:rsid w:val="00367E47"/>
    <w:rsid w:val="00367F6D"/>
    <w:rsid w:val="003700FF"/>
    <w:rsid w:val="00370114"/>
    <w:rsid w:val="00372209"/>
    <w:rsid w:val="00372241"/>
    <w:rsid w:val="00372A19"/>
    <w:rsid w:val="00372E76"/>
    <w:rsid w:val="003734EC"/>
    <w:rsid w:val="00373688"/>
    <w:rsid w:val="00373694"/>
    <w:rsid w:val="00373B39"/>
    <w:rsid w:val="003745F7"/>
    <w:rsid w:val="003745FB"/>
    <w:rsid w:val="003748CE"/>
    <w:rsid w:val="003753B6"/>
    <w:rsid w:val="00375489"/>
    <w:rsid w:val="00375491"/>
    <w:rsid w:val="0037555C"/>
    <w:rsid w:val="0037585A"/>
    <w:rsid w:val="00376333"/>
    <w:rsid w:val="0037684D"/>
    <w:rsid w:val="00376892"/>
    <w:rsid w:val="0038030C"/>
    <w:rsid w:val="00380F3E"/>
    <w:rsid w:val="003813E9"/>
    <w:rsid w:val="0038192D"/>
    <w:rsid w:val="00381DE7"/>
    <w:rsid w:val="00381F5A"/>
    <w:rsid w:val="003827D6"/>
    <w:rsid w:val="00382AFB"/>
    <w:rsid w:val="00382B6D"/>
    <w:rsid w:val="003830CA"/>
    <w:rsid w:val="0038358D"/>
    <w:rsid w:val="0038396A"/>
    <w:rsid w:val="00383B9B"/>
    <w:rsid w:val="00383DE4"/>
    <w:rsid w:val="00384609"/>
    <w:rsid w:val="00384D8A"/>
    <w:rsid w:val="00384FAD"/>
    <w:rsid w:val="003857B3"/>
    <w:rsid w:val="003859F5"/>
    <w:rsid w:val="00385B43"/>
    <w:rsid w:val="00385EC8"/>
    <w:rsid w:val="003862B2"/>
    <w:rsid w:val="00386788"/>
    <w:rsid w:val="00386A30"/>
    <w:rsid w:val="00386B1E"/>
    <w:rsid w:val="00387D6C"/>
    <w:rsid w:val="003900D5"/>
    <w:rsid w:val="003902B4"/>
    <w:rsid w:val="003903DC"/>
    <w:rsid w:val="0039081D"/>
    <w:rsid w:val="0039097C"/>
    <w:rsid w:val="003909C1"/>
    <w:rsid w:val="003915BA"/>
    <w:rsid w:val="0039305F"/>
    <w:rsid w:val="003934CE"/>
    <w:rsid w:val="003937FF"/>
    <w:rsid w:val="00393859"/>
    <w:rsid w:val="0039407A"/>
    <w:rsid w:val="00394925"/>
    <w:rsid w:val="00394CA5"/>
    <w:rsid w:val="00394F29"/>
    <w:rsid w:val="00395473"/>
    <w:rsid w:val="003956ED"/>
    <w:rsid w:val="00396145"/>
    <w:rsid w:val="003965F9"/>
    <w:rsid w:val="0039665F"/>
    <w:rsid w:val="00396EE5"/>
    <w:rsid w:val="003A0601"/>
    <w:rsid w:val="003A0A94"/>
    <w:rsid w:val="003A0BE0"/>
    <w:rsid w:val="003A0F7F"/>
    <w:rsid w:val="003A1222"/>
    <w:rsid w:val="003A205D"/>
    <w:rsid w:val="003A224A"/>
    <w:rsid w:val="003A237D"/>
    <w:rsid w:val="003A2790"/>
    <w:rsid w:val="003A339F"/>
    <w:rsid w:val="003A33BA"/>
    <w:rsid w:val="003A3F8D"/>
    <w:rsid w:val="003A458A"/>
    <w:rsid w:val="003A48E7"/>
    <w:rsid w:val="003A4A50"/>
    <w:rsid w:val="003A5058"/>
    <w:rsid w:val="003A56AD"/>
    <w:rsid w:val="003A5E49"/>
    <w:rsid w:val="003A616B"/>
    <w:rsid w:val="003A72F2"/>
    <w:rsid w:val="003A795E"/>
    <w:rsid w:val="003B001E"/>
    <w:rsid w:val="003B083A"/>
    <w:rsid w:val="003B114F"/>
    <w:rsid w:val="003B17CE"/>
    <w:rsid w:val="003B1AE9"/>
    <w:rsid w:val="003B1BBD"/>
    <w:rsid w:val="003B1CA2"/>
    <w:rsid w:val="003B28A1"/>
    <w:rsid w:val="003B2B5C"/>
    <w:rsid w:val="003B3120"/>
    <w:rsid w:val="003B3A1E"/>
    <w:rsid w:val="003B3A7B"/>
    <w:rsid w:val="003B3BD3"/>
    <w:rsid w:val="003B3E2F"/>
    <w:rsid w:val="003B4807"/>
    <w:rsid w:val="003B4D1B"/>
    <w:rsid w:val="003B5191"/>
    <w:rsid w:val="003B5829"/>
    <w:rsid w:val="003B5CC6"/>
    <w:rsid w:val="003B6EDC"/>
    <w:rsid w:val="003B79C4"/>
    <w:rsid w:val="003B7E55"/>
    <w:rsid w:val="003C09A7"/>
    <w:rsid w:val="003C0BB4"/>
    <w:rsid w:val="003C0D22"/>
    <w:rsid w:val="003C17F9"/>
    <w:rsid w:val="003C199E"/>
    <w:rsid w:val="003C1A0D"/>
    <w:rsid w:val="003C1EC5"/>
    <w:rsid w:val="003C34EA"/>
    <w:rsid w:val="003C38F9"/>
    <w:rsid w:val="003C393D"/>
    <w:rsid w:val="003C3A60"/>
    <w:rsid w:val="003C4080"/>
    <w:rsid w:val="003C43B5"/>
    <w:rsid w:val="003C46E7"/>
    <w:rsid w:val="003C4882"/>
    <w:rsid w:val="003C4BE3"/>
    <w:rsid w:val="003C4D6A"/>
    <w:rsid w:val="003C4E9F"/>
    <w:rsid w:val="003C4F2E"/>
    <w:rsid w:val="003C5A44"/>
    <w:rsid w:val="003C5C2B"/>
    <w:rsid w:val="003C6292"/>
    <w:rsid w:val="003C68C2"/>
    <w:rsid w:val="003C73C9"/>
    <w:rsid w:val="003C779E"/>
    <w:rsid w:val="003D0082"/>
    <w:rsid w:val="003D0438"/>
    <w:rsid w:val="003D0916"/>
    <w:rsid w:val="003D0CAB"/>
    <w:rsid w:val="003D1AC0"/>
    <w:rsid w:val="003D1C65"/>
    <w:rsid w:val="003D1E94"/>
    <w:rsid w:val="003D278A"/>
    <w:rsid w:val="003D2A5D"/>
    <w:rsid w:val="003D2F3F"/>
    <w:rsid w:val="003D4159"/>
    <w:rsid w:val="003D427E"/>
    <w:rsid w:val="003D4287"/>
    <w:rsid w:val="003D4BFB"/>
    <w:rsid w:val="003D4C25"/>
    <w:rsid w:val="003D4E51"/>
    <w:rsid w:val="003D562F"/>
    <w:rsid w:val="003D5AD9"/>
    <w:rsid w:val="003D6174"/>
    <w:rsid w:val="003D648B"/>
    <w:rsid w:val="003D6FFF"/>
    <w:rsid w:val="003D73A1"/>
    <w:rsid w:val="003E005F"/>
    <w:rsid w:val="003E054D"/>
    <w:rsid w:val="003E0623"/>
    <w:rsid w:val="003E07AE"/>
    <w:rsid w:val="003E0E41"/>
    <w:rsid w:val="003E0E6D"/>
    <w:rsid w:val="003E180D"/>
    <w:rsid w:val="003E1DFC"/>
    <w:rsid w:val="003E2074"/>
    <w:rsid w:val="003E2223"/>
    <w:rsid w:val="003E2A04"/>
    <w:rsid w:val="003E2B03"/>
    <w:rsid w:val="003E3FF7"/>
    <w:rsid w:val="003E400C"/>
    <w:rsid w:val="003E40C3"/>
    <w:rsid w:val="003E420C"/>
    <w:rsid w:val="003E471F"/>
    <w:rsid w:val="003E5317"/>
    <w:rsid w:val="003E5367"/>
    <w:rsid w:val="003E53C2"/>
    <w:rsid w:val="003E56B2"/>
    <w:rsid w:val="003E60CC"/>
    <w:rsid w:val="003E6842"/>
    <w:rsid w:val="003E6FF0"/>
    <w:rsid w:val="003E7192"/>
    <w:rsid w:val="003E722C"/>
    <w:rsid w:val="003E76EF"/>
    <w:rsid w:val="003E7C3F"/>
    <w:rsid w:val="003E7D1B"/>
    <w:rsid w:val="003E7F6A"/>
    <w:rsid w:val="003F014C"/>
    <w:rsid w:val="003F0C55"/>
    <w:rsid w:val="003F11C1"/>
    <w:rsid w:val="003F18A0"/>
    <w:rsid w:val="003F191D"/>
    <w:rsid w:val="003F1983"/>
    <w:rsid w:val="003F21A7"/>
    <w:rsid w:val="003F2E5A"/>
    <w:rsid w:val="003F2EBE"/>
    <w:rsid w:val="003F35AF"/>
    <w:rsid w:val="003F3746"/>
    <w:rsid w:val="003F39C8"/>
    <w:rsid w:val="003F3BF8"/>
    <w:rsid w:val="003F4221"/>
    <w:rsid w:val="003F4262"/>
    <w:rsid w:val="003F505A"/>
    <w:rsid w:val="003F505B"/>
    <w:rsid w:val="003F5242"/>
    <w:rsid w:val="003F5FC4"/>
    <w:rsid w:val="003F660C"/>
    <w:rsid w:val="003F6DA6"/>
    <w:rsid w:val="003F7BEE"/>
    <w:rsid w:val="003F7C0F"/>
    <w:rsid w:val="003F7D74"/>
    <w:rsid w:val="003F7EC3"/>
    <w:rsid w:val="0040033B"/>
    <w:rsid w:val="00400D76"/>
    <w:rsid w:val="00400E92"/>
    <w:rsid w:val="00400F18"/>
    <w:rsid w:val="00400F95"/>
    <w:rsid w:val="00401CCA"/>
    <w:rsid w:val="00401EFE"/>
    <w:rsid w:val="0040202B"/>
    <w:rsid w:val="00402135"/>
    <w:rsid w:val="00402426"/>
    <w:rsid w:val="004025B1"/>
    <w:rsid w:val="00402AFE"/>
    <w:rsid w:val="00403942"/>
    <w:rsid w:val="004039E7"/>
    <w:rsid w:val="00403F17"/>
    <w:rsid w:val="004041F7"/>
    <w:rsid w:val="00404344"/>
    <w:rsid w:val="00404C1C"/>
    <w:rsid w:val="00405E51"/>
    <w:rsid w:val="00406334"/>
    <w:rsid w:val="0040673A"/>
    <w:rsid w:val="00406C91"/>
    <w:rsid w:val="00406F6F"/>
    <w:rsid w:val="004070B9"/>
    <w:rsid w:val="004074AC"/>
    <w:rsid w:val="00407C49"/>
    <w:rsid w:val="00407FB9"/>
    <w:rsid w:val="004102CE"/>
    <w:rsid w:val="004103FC"/>
    <w:rsid w:val="0041071F"/>
    <w:rsid w:val="004108D1"/>
    <w:rsid w:val="004108DB"/>
    <w:rsid w:val="00410C19"/>
    <w:rsid w:val="004110C3"/>
    <w:rsid w:val="004119AD"/>
    <w:rsid w:val="00411D6D"/>
    <w:rsid w:val="00411E93"/>
    <w:rsid w:val="00412515"/>
    <w:rsid w:val="00412688"/>
    <w:rsid w:val="00412BAC"/>
    <w:rsid w:val="00413639"/>
    <w:rsid w:val="004138C9"/>
    <w:rsid w:val="0041394B"/>
    <w:rsid w:val="00413F92"/>
    <w:rsid w:val="00414091"/>
    <w:rsid w:val="00414426"/>
    <w:rsid w:val="00414617"/>
    <w:rsid w:val="00414663"/>
    <w:rsid w:val="0041540F"/>
    <w:rsid w:val="00416AC6"/>
    <w:rsid w:val="00416ADE"/>
    <w:rsid w:val="0041732D"/>
    <w:rsid w:val="004173FC"/>
    <w:rsid w:val="00417D06"/>
    <w:rsid w:val="00417FD0"/>
    <w:rsid w:val="00417FFB"/>
    <w:rsid w:val="00420375"/>
    <w:rsid w:val="004206FB"/>
    <w:rsid w:val="00420BF6"/>
    <w:rsid w:val="00420DDB"/>
    <w:rsid w:val="00420FEB"/>
    <w:rsid w:val="004211BA"/>
    <w:rsid w:val="0042138C"/>
    <w:rsid w:val="00421755"/>
    <w:rsid w:val="00421BE7"/>
    <w:rsid w:val="00421E22"/>
    <w:rsid w:val="00422084"/>
    <w:rsid w:val="00422517"/>
    <w:rsid w:val="00422F73"/>
    <w:rsid w:val="004236AA"/>
    <w:rsid w:val="00423BCB"/>
    <w:rsid w:val="004241AA"/>
    <w:rsid w:val="004243E4"/>
    <w:rsid w:val="00424775"/>
    <w:rsid w:val="00424B24"/>
    <w:rsid w:val="00424C87"/>
    <w:rsid w:val="00425202"/>
    <w:rsid w:val="0042529C"/>
    <w:rsid w:val="004254DA"/>
    <w:rsid w:val="004258EE"/>
    <w:rsid w:val="00425D41"/>
    <w:rsid w:val="00425E5A"/>
    <w:rsid w:val="00426434"/>
    <w:rsid w:val="00426905"/>
    <w:rsid w:val="00426BEF"/>
    <w:rsid w:val="00426CF7"/>
    <w:rsid w:val="0042709E"/>
    <w:rsid w:val="00427636"/>
    <w:rsid w:val="00427996"/>
    <w:rsid w:val="00427A44"/>
    <w:rsid w:val="00427CC4"/>
    <w:rsid w:val="00427F5E"/>
    <w:rsid w:val="00427FC2"/>
    <w:rsid w:val="004300DD"/>
    <w:rsid w:val="004305BA"/>
    <w:rsid w:val="00430823"/>
    <w:rsid w:val="00430BD2"/>
    <w:rsid w:val="00431B64"/>
    <w:rsid w:val="00431FE8"/>
    <w:rsid w:val="004324EA"/>
    <w:rsid w:val="00432A25"/>
    <w:rsid w:val="00433504"/>
    <w:rsid w:val="004336F3"/>
    <w:rsid w:val="00434144"/>
    <w:rsid w:val="0043416B"/>
    <w:rsid w:val="004342C0"/>
    <w:rsid w:val="0043433B"/>
    <w:rsid w:val="004343C6"/>
    <w:rsid w:val="00434765"/>
    <w:rsid w:val="00434876"/>
    <w:rsid w:val="004356ED"/>
    <w:rsid w:val="00435769"/>
    <w:rsid w:val="004357CE"/>
    <w:rsid w:val="00435A5C"/>
    <w:rsid w:val="0043715F"/>
    <w:rsid w:val="004372A9"/>
    <w:rsid w:val="00437695"/>
    <w:rsid w:val="00437A7F"/>
    <w:rsid w:val="00437CE8"/>
    <w:rsid w:val="00437CFC"/>
    <w:rsid w:val="00437D48"/>
    <w:rsid w:val="00440AD2"/>
    <w:rsid w:val="00440B2C"/>
    <w:rsid w:val="00440B2D"/>
    <w:rsid w:val="00440EC4"/>
    <w:rsid w:val="00441EC9"/>
    <w:rsid w:val="00442AE3"/>
    <w:rsid w:val="00444341"/>
    <w:rsid w:val="00444C51"/>
    <w:rsid w:val="00444C8C"/>
    <w:rsid w:val="00445922"/>
    <w:rsid w:val="00445AB2"/>
    <w:rsid w:val="00445D90"/>
    <w:rsid w:val="00445F37"/>
    <w:rsid w:val="0044600F"/>
    <w:rsid w:val="00447046"/>
    <w:rsid w:val="00450E3E"/>
    <w:rsid w:val="00451C23"/>
    <w:rsid w:val="00451E80"/>
    <w:rsid w:val="00452C26"/>
    <w:rsid w:val="00452F3D"/>
    <w:rsid w:val="004532A0"/>
    <w:rsid w:val="00453AEE"/>
    <w:rsid w:val="00453CC6"/>
    <w:rsid w:val="00453D0B"/>
    <w:rsid w:val="00453F40"/>
    <w:rsid w:val="004544AB"/>
    <w:rsid w:val="00454896"/>
    <w:rsid w:val="00454D68"/>
    <w:rsid w:val="004557CE"/>
    <w:rsid w:val="00455D17"/>
    <w:rsid w:val="0045756B"/>
    <w:rsid w:val="00457EA6"/>
    <w:rsid w:val="0046008E"/>
    <w:rsid w:val="00460365"/>
    <w:rsid w:val="0046047B"/>
    <w:rsid w:val="004616EB"/>
    <w:rsid w:val="004618B6"/>
    <w:rsid w:val="00461EF9"/>
    <w:rsid w:val="00461F28"/>
    <w:rsid w:val="004621DA"/>
    <w:rsid w:val="004628C9"/>
    <w:rsid w:val="00462A7B"/>
    <w:rsid w:val="00462C84"/>
    <w:rsid w:val="00463318"/>
    <w:rsid w:val="00464E85"/>
    <w:rsid w:val="00465BF0"/>
    <w:rsid w:val="0046604A"/>
    <w:rsid w:val="00466143"/>
    <w:rsid w:val="0046645E"/>
    <w:rsid w:val="00466510"/>
    <w:rsid w:val="00467219"/>
    <w:rsid w:val="00467876"/>
    <w:rsid w:val="0047111B"/>
    <w:rsid w:val="0047127D"/>
    <w:rsid w:val="00471383"/>
    <w:rsid w:val="00471652"/>
    <w:rsid w:val="00471D96"/>
    <w:rsid w:val="00472311"/>
    <w:rsid w:val="00472497"/>
    <w:rsid w:val="004729F2"/>
    <w:rsid w:val="00472A38"/>
    <w:rsid w:val="00473106"/>
    <w:rsid w:val="0047450C"/>
    <w:rsid w:val="004748FF"/>
    <w:rsid w:val="00474B2C"/>
    <w:rsid w:val="00474C4F"/>
    <w:rsid w:val="004751B1"/>
    <w:rsid w:val="00475321"/>
    <w:rsid w:val="00475373"/>
    <w:rsid w:val="00475E88"/>
    <w:rsid w:val="00476594"/>
    <w:rsid w:val="00476F1E"/>
    <w:rsid w:val="004776D6"/>
    <w:rsid w:val="00477E87"/>
    <w:rsid w:val="0048009E"/>
    <w:rsid w:val="00480682"/>
    <w:rsid w:val="00480EBA"/>
    <w:rsid w:val="004818B8"/>
    <w:rsid w:val="004830FC"/>
    <w:rsid w:val="004838FC"/>
    <w:rsid w:val="00483E62"/>
    <w:rsid w:val="00484B69"/>
    <w:rsid w:val="004858E0"/>
    <w:rsid w:val="00485D5D"/>
    <w:rsid w:val="00486202"/>
    <w:rsid w:val="00486CBB"/>
    <w:rsid w:val="00487E5E"/>
    <w:rsid w:val="004901AD"/>
    <w:rsid w:val="004909B5"/>
    <w:rsid w:val="00490A07"/>
    <w:rsid w:val="00490A6C"/>
    <w:rsid w:val="00490EE0"/>
    <w:rsid w:val="00491189"/>
    <w:rsid w:val="00491794"/>
    <w:rsid w:val="00491806"/>
    <w:rsid w:val="00492209"/>
    <w:rsid w:val="00492815"/>
    <w:rsid w:val="00492A9E"/>
    <w:rsid w:val="00492ABB"/>
    <w:rsid w:val="00492BFD"/>
    <w:rsid w:val="0049317C"/>
    <w:rsid w:val="004939C3"/>
    <w:rsid w:val="00493FEE"/>
    <w:rsid w:val="004942C5"/>
    <w:rsid w:val="004942E9"/>
    <w:rsid w:val="00494C66"/>
    <w:rsid w:val="00495656"/>
    <w:rsid w:val="00495CBB"/>
    <w:rsid w:val="00495D72"/>
    <w:rsid w:val="004965D3"/>
    <w:rsid w:val="00496D71"/>
    <w:rsid w:val="0049704C"/>
    <w:rsid w:val="004971A8"/>
    <w:rsid w:val="00497479"/>
    <w:rsid w:val="00497688"/>
    <w:rsid w:val="004A0F51"/>
    <w:rsid w:val="004A1662"/>
    <w:rsid w:val="004A1959"/>
    <w:rsid w:val="004A1B8F"/>
    <w:rsid w:val="004A2FE0"/>
    <w:rsid w:val="004A3292"/>
    <w:rsid w:val="004A3378"/>
    <w:rsid w:val="004A44B2"/>
    <w:rsid w:val="004A463A"/>
    <w:rsid w:val="004A46DE"/>
    <w:rsid w:val="004A476F"/>
    <w:rsid w:val="004A4950"/>
    <w:rsid w:val="004A5065"/>
    <w:rsid w:val="004A57C2"/>
    <w:rsid w:val="004A63FD"/>
    <w:rsid w:val="004A6B3F"/>
    <w:rsid w:val="004A6E5B"/>
    <w:rsid w:val="004A73BF"/>
    <w:rsid w:val="004A7ADA"/>
    <w:rsid w:val="004A7E46"/>
    <w:rsid w:val="004B0228"/>
    <w:rsid w:val="004B0A7A"/>
    <w:rsid w:val="004B15FA"/>
    <w:rsid w:val="004B1B57"/>
    <w:rsid w:val="004B1BED"/>
    <w:rsid w:val="004B1E7D"/>
    <w:rsid w:val="004B2FA4"/>
    <w:rsid w:val="004B328B"/>
    <w:rsid w:val="004B353B"/>
    <w:rsid w:val="004B37E3"/>
    <w:rsid w:val="004B3850"/>
    <w:rsid w:val="004B385E"/>
    <w:rsid w:val="004B40DF"/>
    <w:rsid w:val="004B4347"/>
    <w:rsid w:val="004B43F6"/>
    <w:rsid w:val="004B44AE"/>
    <w:rsid w:val="004B4619"/>
    <w:rsid w:val="004B49D2"/>
    <w:rsid w:val="004B4A6D"/>
    <w:rsid w:val="004B4B11"/>
    <w:rsid w:val="004B5034"/>
    <w:rsid w:val="004B533F"/>
    <w:rsid w:val="004B5500"/>
    <w:rsid w:val="004B6432"/>
    <w:rsid w:val="004B6E70"/>
    <w:rsid w:val="004B6ED5"/>
    <w:rsid w:val="004B722E"/>
    <w:rsid w:val="004B78C8"/>
    <w:rsid w:val="004C0003"/>
    <w:rsid w:val="004C0B97"/>
    <w:rsid w:val="004C0BE5"/>
    <w:rsid w:val="004C0D59"/>
    <w:rsid w:val="004C0FA4"/>
    <w:rsid w:val="004C1571"/>
    <w:rsid w:val="004C1AAD"/>
    <w:rsid w:val="004C1F4E"/>
    <w:rsid w:val="004C1FC0"/>
    <w:rsid w:val="004C21A8"/>
    <w:rsid w:val="004C258C"/>
    <w:rsid w:val="004C298E"/>
    <w:rsid w:val="004C31C3"/>
    <w:rsid w:val="004C3AE7"/>
    <w:rsid w:val="004C3F89"/>
    <w:rsid w:val="004C40A9"/>
    <w:rsid w:val="004C4530"/>
    <w:rsid w:val="004C4E35"/>
    <w:rsid w:val="004C5233"/>
    <w:rsid w:val="004C53CE"/>
    <w:rsid w:val="004C5590"/>
    <w:rsid w:val="004C55DD"/>
    <w:rsid w:val="004C61E3"/>
    <w:rsid w:val="004C6789"/>
    <w:rsid w:val="004C71BD"/>
    <w:rsid w:val="004C7398"/>
    <w:rsid w:val="004D0234"/>
    <w:rsid w:val="004D0AB8"/>
    <w:rsid w:val="004D0DE0"/>
    <w:rsid w:val="004D16AF"/>
    <w:rsid w:val="004D187B"/>
    <w:rsid w:val="004D1946"/>
    <w:rsid w:val="004D1FBB"/>
    <w:rsid w:val="004D21DF"/>
    <w:rsid w:val="004D2420"/>
    <w:rsid w:val="004D2865"/>
    <w:rsid w:val="004D30B5"/>
    <w:rsid w:val="004D34FE"/>
    <w:rsid w:val="004D47DB"/>
    <w:rsid w:val="004D4BE8"/>
    <w:rsid w:val="004D5258"/>
    <w:rsid w:val="004D59CA"/>
    <w:rsid w:val="004D5C8B"/>
    <w:rsid w:val="004D7C43"/>
    <w:rsid w:val="004E054F"/>
    <w:rsid w:val="004E0DD1"/>
    <w:rsid w:val="004E11B6"/>
    <w:rsid w:val="004E14DC"/>
    <w:rsid w:val="004E171E"/>
    <w:rsid w:val="004E218F"/>
    <w:rsid w:val="004E258C"/>
    <w:rsid w:val="004E2595"/>
    <w:rsid w:val="004E2598"/>
    <w:rsid w:val="004E26E8"/>
    <w:rsid w:val="004E2FDA"/>
    <w:rsid w:val="004E3852"/>
    <w:rsid w:val="004E4CEB"/>
    <w:rsid w:val="004E4F99"/>
    <w:rsid w:val="004E5317"/>
    <w:rsid w:val="004E591C"/>
    <w:rsid w:val="004E6334"/>
    <w:rsid w:val="004E6471"/>
    <w:rsid w:val="004E6BBB"/>
    <w:rsid w:val="004E6D0C"/>
    <w:rsid w:val="004E7A1A"/>
    <w:rsid w:val="004E7EC4"/>
    <w:rsid w:val="004E7FF8"/>
    <w:rsid w:val="004F0359"/>
    <w:rsid w:val="004F04CD"/>
    <w:rsid w:val="004F06AB"/>
    <w:rsid w:val="004F071F"/>
    <w:rsid w:val="004F0959"/>
    <w:rsid w:val="004F09C4"/>
    <w:rsid w:val="004F0CEA"/>
    <w:rsid w:val="004F1095"/>
    <w:rsid w:val="004F1204"/>
    <w:rsid w:val="004F1378"/>
    <w:rsid w:val="004F16FD"/>
    <w:rsid w:val="004F19AA"/>
    <w:rsid w:val="004F204C"/>
    <w:rsid w:val="004F27A6"/>
    <w:rsid w:val="004F2AA5"/>
    <w:rsid w:val="004F2D62"/>
    <w:rsid w:val="004F3977"/>
    <w:rsid w:val="004F415C"/>
    <w:rsid w:val="004F422A"/>
    <w:rsid w:val="004F44D7"/>
    <w:rsid w:val="004F44DE"/>
    <w:rsid w:val="004F4DE7"/>
    <w:rsid w:val="004F4FD2"/>
    <w:rsid w:val="004F51B4"/>
    <w:rsid w:val="004F52D0"/>
    <w:rsid w:val="004F5300"/>
    <w:rsid w:val="004F6033"/>
    <w:rsid w:val="004F6CB8"/>
    <w:rsid w:val="004F6D8A"/>
    <w:rsid w:val="004F6F50"/>
    <w:rsid w:val="004F736F"/>
    <w:rsid w:val="004F7730"/>
    <w:rsid w:val="004F7B36"/>
    <w:rsid w:val="004F7E33"/>
    <w:rsid w:val="005006F2"/>
    <w:rsid w:val="00500BA2"/>
    <w:rsid w:val="00500BEE"/>
    <w:rsid w:val="005018E0"/>
    <w:rsid w:val="00501905"/>
    <w:rsid w:val="00501A1A"/>
    <w:rsid w:val="00501B26"/>
    <w:rsid w:val="00502415"/>
    <w:rsid w:val="005026F9"/>
    <w:rsid w:val="00503237"/>
    <w:rsid w:val="00503AB9"/>
    <w:rsid w:val="00503B05"/>
    <w:rsid w:val="005045C2"/>
    <w:rsid w:val="00504B04"/>
    <w:rsid w:val="00504BA9"/>
    <w:rsid w:val="00505271"/>
    <w:rsid w:val="00505B9C"/>
    <w:rsid w:val="00505BE9"/>
    <w:rsid w:val="005061FB"/>
    <w:rsid w:val="00506364"/>
    <w:rsid w:val="0050684F"/>
    <w:rsid w:val="00506D2F"/>
    <w:rsid w:val="00506DA3"/>
    <w:rsid w:val="005073C8"/>
    <w:rsid w:val="005074E6"/>
    <w:rsid w:val="00507693"/>
    <w:rsid w:val="005077E4"/>
    <w:rsid w:val="005078E1"/>
    <w:rsid w:val="00507B70"/>
    <w:rsid w:val="00507BBF"/>
    <w:rsid w:val="00507EAD"/>
    <w:rsid w:val="00510044"/>
    <w:rsid w:val="00510DFD"/>
    <w:rsid w:val="0051106D"/>
    <w:rsid w:val="00511591"/>
    <w:rsid w:val="00511C4C"/>
    <w:rsid w:val="005126E2"/>
    <w:rsid w:val="0051316F"/>
    <w:rsid w:val="005137FE"/>
    <w:rsid w:val="00513A70"/>
    <w:rsid w:val="00513AF1"/>
    <w:rsid w:val="00513AF6"/>
    <w:rsid w:val="005147E9"/>
    <w:rsid w:val="0051504C"/>
    <w:rsid w:val="00515711"/>
    <w:rsid w:val="00515FF0"/>
    <w:rsid w:val="00516F90"/>
    <w:rsid w:val="00517472"/>
    <w:rsid w:val="00517498"/>
    <w:rsid w:val="005176CE"/>
    <w:rsid w:val="0051775B"/>
    <w:rsid w:val="00517D3B"/>
    <w:rsid w:val="005202DE"/>
    <w:rsid w:val="0052034D"/>
    <w:rsid w:val="00520475"/>
    <w:rsid w:val="00520EA7"/>
    <w:rsid w:val="00521403"/>
    <w:rsid w:val="00521A35"/>
    <w:rsid w:val="00521BA4"/>
    <w:rsid w:val="00522053"/>
    <w:rsid w:val="00522433"/>
    <w:rsid w:val="00522B48"/>
    <w:rsid w:val="00522EA9"/>
    <w:rsid w:val="005232C8"/>
    <w:rsid w:val="00523900"/>
    <w:rsid w:val="00523B80"/>
    <w:rsid w:val="00523CBF"/>
    <w:rsid w:val="00524220"/>
    <w:rsid w:val="005242F1"/>
    <w:rsid w:val="005243E1"/>
    <w:rsid w:val="00524670"/>
    <w:rsid w:val="005255DF"/>
    <w:rsid w:val="005258F4"/>
    <w:rsid w:val="00525CAD"/>
    <w:rsid w:val="00526225"/>
    <w:rsid w:val="005264C1"/>
    <w:rsid w:val="00526BB2"/>
    <w:rsid w:val="00526F6A"/>
    <w:rsid w:val="00527440"/>
    <w:rsid w:val="00527CB6"/>
    <w:rsid w:val="0053112D"/>
    <w:rsid w:val="0053147D"/>
    <w:rsid w:val="00531A4B"/>
    <w:rsid w:val="00531B7D"/>
    <w:rsid w:val="005337F5"/>
    <w:rsid w:val="00533B8C"/>
    <w:rsid w:val="0053470F"/>
    <w:rsid w:val="00534D94"/>
    <w:rsid w:val="00534F4D"/>
    <w:rsid w:val="005354B5"/>
    <w:rsid w:val="0053560F"/>
    <w:rsid w:val="00535BE7"/>
    <w:rsid w:val="005360FF"/>
    <w:rsid w:val="005365BD"/>
    <w:rsid w:val="00536883"/>
    <w:rsid w:val="005368BF"/>
    <w:rsid w:val="00536B0A"/>
    <w:rsid w:val="00536E3B"/>
    <w:rsid w:val="00536EEB"/>
    <w:rsid w:val="0053776F"/>
    <w:rsid w:val="00540E76"/>
    <w:rsid w:val="005418D3"/>
    <w:rsid w:val="0054259B"/>
    <w:rsid w:val="00542CF4"/>
    <w:rsid w:val="00542D37"/>
    <w:rsid w:val="005431A3"/>
    <w:rsid w:val="00543931"/>
    <w:rsid w:val="00543B76"/>
    <w:rsid w:val="00543D16"/>
    <w:rsid w:val="0054472C"/>
    <w:rsid w:val="005455E3"/>
    <w:rsid w:val="00546296"/>
    <w:rsid w:val="005465D2"/>
    <w:rsid w:val="005468A1"/>
    <w:rsid w:val="00547682"/>
    <w:rsid w:val="00547836"/>
    <w:rsid w:val="00547B02"/>
    <w:rsid w:val="00547E20"/>
    <w:rsid w:val="00547ED5"/>
    <w:rsid w:val="00550737"/>
    <w:rsid w:val="00551113"/>
    <w:rsid w:val="0055143D"/>
    <w:rsid w:val="00551454"/>
    <w:rsid w:val="005517CF"/>
    <w:rsid w:val="0055194E"/>
    <w:rsid w:val="00551AA0"/>
    <w:rsid w:val="00552057"/>
    <w:rsid w:val="00552177"/>
    <w:rsid w:val="005525DB"/>
    <w:rsid w:val="0055426D"/>
    <w:rsid w:val="00555628"/>
    <w:rsid w:val="00555BBA"/>
    <w:rsid w:val="00556006"/>
    <w:rsid w:val="00556939"/>
    <w:rsid w:val="00557B1D"/>
    <w:rsid w:val="00557DCA"/>
    <w:rsid w:val="00557EFF"/>
    <w:rsid w:val="0056077A"/>
    <w:rsid w:val="00560F95"/>
    <w:rsid w:val="00560F99"/>
    <w:rsid w:val="0056144A"/>
    <w:rsid w:val="00561483"/>
    <w:rsid w:val="00561509"/>
    <w:rsid w:val="00561AB2"/>
    <w:rsid w:val="00561BDB"/>
    <w:rsid w:val="0056218D"/>
    <w:rsid w:val="00562C15"/>
    <w:rsid w:val="005631AD"/>
    <w:rsid w:val="00563274"/>
    <w:rsid w:val="00563721"/>
    <w:rsid w:val="00563729"/>
    <w:rsid w:val="00563E57"/>
    <w:rsid w:val="0056434A"/>
    <w:rsid w:val="005652CC"/>
    <w:rsid w:val="005657F5"/>
    <w:rsid w:val="005662A5"/>
    <w:rsid w:val="0056656E"/>
    <w:rsid w:val="00566ACE"/>
    <w:rsid w:val="005673F6"/>
    <w:rsid w:val="00567D9B"/>
    <w:rsid w:val="0057072F"/>
    <w:rsid w:val="00570931"/>
    <w:rsid w:val="00570B11"/>
    <w:rsid w:val="00570C28"/>
    <w:rsid w:val="00570D81"/>
    <w:rsid w:val="00571327"/>
    <w:rsid w:val="0057157C"/>
    <w:rsid w:val="00571AA3"/>
    <w:rsid w:val="00572B0E"/>
    <w:rsid w:val="0057325E"/>
    <w:rsid w:val="005736D1"/>
    <w:rsid w:val="00573974"/>
    <w:rsid w:val="00573EA8"/>
    <w:rsid w:val="005749EA"/>
    <w:rsid w:val="00574ACC"/>
    <w:rsid w:val="005765BC"/>
    <w:rsid w:val="00576612"/>
    <w:rsid w:val="0057708D"/>
    <w:rsid w:val="00577579"/>
    <w:rsid w:val="005775B1"/>
    <w:rsid w:val="0057780D"/>
    <w:rsid w:val="00577A37"/>
    <w:rsid w:val="005802D0"/>
    <w:rsid w:val="005802F0"/>
    <w:rsid w:val="005809B7"/>
    <w:rsid w:val="00580B7B"/>
    <w:rsid w:val="00580DB4"/>
    <w:rsid w:val="00581332"/>
    <w:rsid w:val="0058177C"/>
    <w:rsid w:val="00581A82"/>
    <w:rsid w:val="00581E55"/>
    <w:rsid w:val="00582449"/>
    <w:rsid w:val="005826F2"/>
    <w:rsid w:val="00582C09"/>
    <w:rsid w:val="00583157"/>
    <w:rsid w:val="005833AC"/>
    <w:rsid w:val="0058374A"/>
    <w:rsid w:val="00583BB8"/>
    <w:rsid w:val="00583CCF"/>
    <w:rsid w:val="00583D51"/>
    <w:rsid w:val="00583F17"/>
    <w:rsid w:val="00584288"/>
    <w:rsid w:val="00584452"/>
    <w:rsid w:val="00585C3A"/>
    <w:rsid w:val="005861D7"/>
    <w:rsid w:val="00586CBF"/>
    <w:rsid w:val="00586DBE"/>
    <w:rsid w:val="005874A4"/>
    <w:rsid w:val="005874FE"/>
    <w:rsid w:val="00587A81"/>
    <w:rsid w:val="00587A85"/>
    <w:rsid w:val="00590393"/>
    <w:rsid w:val="005904A5"/>
    <w:rsid w:val="0059076C"/>
    <w:rsid w:val="00590985"/>
    <w:rsid w:val="00590ECE"/>
    <w:rsid w:val="00591705"/>
    <w:rsid w:val="00591918"/>
    <w:rsid w:val="0059209A"/>
    <w:rsid w:val="005924E5"/>
    <w:rsid w:val="0059254C"/>
    <w:rsid w:val="005927D2"/>
    <w:rsid w:val="0059286E"/>
    <w:rsid w:val="00592AAA"/>
    <w:rsid w:val="00592F52"/>
    <w:rsid w:val="00592F97"/>
    <w:rsid w:val="005930B8"/>
    <w:rsid w:val="005936D0"/>
    <w:rsid w:val="00594077"/>
    <w:rsid w:val="00594571"/>
    <w:rsid w:val="00594574"/>
    <w:rsid w:val="0059463F"/>
    <w:rsid w:val="00594C7A"/>
    <w:rsid w:val="00594E6C"/>
    <w:rsid w:val="005950D1"/>
    <w:rsid w:val="00595702"/>
    <w:rsid w:val="00595836"/>
    <w:rsid w:val="00596035"/>
    <w:rsid w:val="0059622D"/>
    <w:rsid w:val="0059623A"/>
    <w:rsid w:val="005964B0"/>
    <w:rsid w:val="00596D92"/>
    <w:rsid w:val="005977D0"/>
    <w:rsid w:val="0059783C"/>
    <w:rsid w:val="00597FF2"/>
    <w:rsid w:val="005A0E5F"/>
    <w:rsid w:val="005A1A79"/>
    <w:rsid w:val="005A1B46"/>
    <w:rsid w:val="005A25E1"/>
    <w:rsid w:val="005A28FB"/>
    <w:rsid w:val="005A295D"/>
    <w:rsid w:val="005A2D98"/>
    <w:rsid w:val="005A3756"/>
    <w:rsid w:val="005A4ABE"/>
    <w:rsid w:val="005A4C1E"/>
    <w:rsid w:val="005A4D4E"/>
    <w:rsid w:val="005A60CA"/>
    <w:rsid w:val="005A73EE"/>
    <w:rsid w:val="005A782B"/>
    <w:rsid w:val="005B0512"/>
    <w:rsid w:val="005B18C0"/>
    <w:rsid w:val="005B21DD"/>
    <w:rsid w:val="005B2628"/>
    <w:rsid w:val="005B2734"/>
    <w:rsid w:val="005B330D"/>
    <w:rsid w:val="005B337C"/>
    <w:rsid w:val="005B352F"/>
    <w:rsid w:val="005B3E22"/>
    <w:rsid w:val="005B438B"/>
    <w:rsid w:val="005B4661"/>
    <w:rsid w:val="005B4E3B"/>
    <w:rsid w:val="005B520C"/>
    <w:rsid w:val="005B5CFE"/>
    <w:rsid w:val="005B5F8B"/>
    <w:rsid w:val="005B5FDA"/>
    <w:rsid w:val="005B66A1"/>
    <w:rsid w:val="005B678D"/>
    <w:rsid w:val="005B6B89"/>
    <w:rsid w:val="005B7257"/>
    <w:rsid w:val="005B742C"/>
    <w:rsid w:val="005B7448"/>
    <w:rsid w:val="005C001E"/>
    <w:rsid w:val="005C0478"/>
    <w:rsid w:val="005C04B4"/>
    <w:rsid w:val="005C0758"/>
    <w:rsid w:val="005C0F0A"/>
    <w:rsid w:val="005C1818"/>
    <w:rsid w:val="005C1836"/>
    <w:rsid w:val="005C1D98"/>
    <w:rsid w:val="005C2371"/>
    <w:rsid w:val="005C29E9"/>
    <w:rsid w:val="005C3913"/>
    <w:rsid w:val="005C3F4E"/>
    <w:rsid w:val="005C412E"/>
    <w:rsid w:val="005C5DDE"/>
    <w:rsid w:val="005C6257"/>
    <w:rsid w:val="005C6273"/>
    <w:rsid w:val="005C6A64"/>
    <w:rsid w:val="005C6C69"/>
    <w:rsid w:val="005C7528"/>
    <w:rsid w:val="005C7A8F"/>
    <w:rsid w:val="005D027F"/>
    <w:rsid w:val="005D046D"/>
    <w:rsid w:val="005D0FA0"/>
    <w:rsid w:val="005D1243"/>
    <w:rsid w:val="005D1569"/>
    <w:rsid w:val="005D1E3F"/>
    <w:rsid w:val="005D2472"/>
    <w:rsid w:val="005D3759"/>
    <w:rsid w:val="005D3775"/>
    <w:rsid w:val="005D39C5"/>
    <w:rsid w:val="005D4350"/>
    <w:rsid w:val="005D50E0"/>
    <w:rsid w:val="005D591C"/>
    <w:rsid w:val="005D5D64"/>
    <w:rsid w:val="005D6709"/>
    <w:rsid w:val="005D6A5E"/>
    <w:rsid w:val="005D6F64"/>
    <w:rsid w:val="005D751B"/>
    <w:rsid w:val="005D7CD0"/>
    <w:rsid w:val="005E059D"/>
    <w:rsid w:val="005E0808"/>
    <w:rsid w:val="005E13E3"/>
    <w:rsid w:val="005E1948"/>
    <w:rsid w:val="005E2091"/>
    <w:rsid w:val="005E265C"/>
    <w:rsid w:val="005E26A5"/>
    <w:rsid w:val="005E29B4"/>
    <w:rsid w:val="005E2D77"/>
    <w:rsid w:val="005E2E83"/>
    <w:rsid w:val="005E30E1"/>
    <w:rsid w:val="005E3131"/>
    <w:rsid w:val="005E31F6"/>
    <w:rsid w:val="005E3AB1"/>
    <w:rsid w:val="005E5151"/>
    <w:rsid w:val="005E5E71"/>
    <w:rsid w:val="005E6981"/>
    <w:rsid w:val="005E79BC"/>
    <w:rsid w:val="005F00AA"/>
    <w:rsid w:val="005F01EB"/>
    <w:rsid w:val="005F030C"/>
    <w:rsid w:val="005F035B"/>
    <w:rsid w:val="005F03A6"/>
    <w:rsid w:val="005F04B0"/>
    <w:rsid w:val="005F0568"/>
    <w:rsid w:val="005F1AD8"/>
    <w:rsid w:val="005F1BD1"/>
    <w:rsid w:val="005F217C"/>
    <w:rsid w:val="005F27AE"/>
    <w:rsid w:val="005F291C"/>
    <w:rsid w:val="005F2E3A"/>
    <w:rsid w:val="005F3544"/>
    <w:rsid w:val="005F3990"/>
    <w:rsid w:val="005F3A19"/>
    <w:rsid w:val="005F4213"/>
    <w:rsid w:val="005F4B02"/>
    <w:rsid w:val="005F5805"/>
    <w:rsid w:val="005F5DB4"/>
    <w:rsid w:val="005F5F24"/>
    <w:rsid w:val="005F6083"/>
    <w:rsid w:val="005F62F4"/>
    <w:rsid w:val="005F6E66"/>
    <w:rsid w:val="005F6F43"/>
    <w:rsid w:val="005F6F6B"/>
    <w:rsid w:val="005F72AC"/>
    <w:rsid w:val="005F7510"/>
    <w:rsid w:val="00600479"/>
    <w:rsid w:val="00600AED"/>
    <w:rsid w:val="00601DBC"/>
    <w:rsid w:val="00603685"/>
    <w:rsid w:val="006038BF"/>
    <w:rsid w:val="006045D3"/>
    <w:rsid w:val="00605130"/>
    <w:rsid w:val="0060555F"/>
    <w:rsid w:val="006055F3"/>
    <w:rsid w:val="006056DC"/>
    <w:rsid w:val="00605C61"/>
    <w:rsid w:val="00606974"/>
    <w:rsid w:val="00606C74"/>
    <w:rsid w:val="006074BD"/>
    <w:rsid w:val="00607961"/>
    <w:rsid w:val="006100C4"/>
    <w:rsid w:val="0061041D"/>
    <w:rsid w:val="00610E73"/>
    <w:rsid w:val="006112EB"/>
    <w:rsid w:val="00611349"/>
    <w:rsid w:val="00611480"/>
    <w:rsid w:val="0061198B"/>
    <w:rsid w:val="00611AD6"/>
    <w:rsid w:val="00611B8F"/>
    <w:rsid w:val="00611D29"/>
    <w:rsid w:val="0061215A"/>
    <w:rsid w:val="006122BA"/>
    <w:rsid w:val="00612A99"/>
    <w:rsid w:val="00612C7D"/>
    <w:rsid w:val="00612E2B"/>
    <w:rsid w:val="006131D3"/>
    <w:rsid w:val="006131F1"/>
    <w:rsid w:val="00613228"/>
    <w:rsid w:val="00613313"/>
    <w:rsid w:val="00613AD3"/>
    <w:rsid w:val="00614284"/>
    <w:rsid w:val="00614DBF"/>
    <w:rsid w:val="00615A65"/>
    <w:rsid w:val="00615ED9"/>
    <w:rsid w:val="00616832"/>
    <w:rsid w:val="00616FF2"/>
    <w:rsid w:val="00617401"/>
    <w:rsid w:val="00617D42"/>
    <w:rsid w:val="00620A88"/>
    <w:rsid w:val="00620F06"/>
    <w:rsid w:val="00621478"/>
    <w:rsid w:val="00621CDB"/>
    <w:rsid w:val="00621D69"/>
    <w:rsid w:val="0062206B"/>
    <w:rsid w:val="0062222B"/>
    <w:rsid w:val="0062249A"/>
    <w:rsid w:val="00622808"/>
    <w:rsid w:val="00622846"/>
    <w:rsid w:val="00622E89"/>
    <w:rsid w:val="00623229"/>
    <w:rsid w:val="00623540"/>
    <w:rsid w:val="006236D3"/>
    <w:rsid w:val="00623F1E"/>
    <w:rsid w:val="0062433B"/>
    <w:rsid w:val="00624419"/>
    <w:rsid w:val="0062473C"/>
    <w:rsid w:val="00624F9C"/>
    <w:rsid w:val="0062524E"/>
    <w:rsid w:val="0062527D"/>
    <w:rsid w:val="00625FCE"/>
    <w:rsid w:val="00626503"/>
    <w:rsid w:val="006265B8"/>
    <w:rsid w:val="00626885"/>
    <w:rsid w:val="00626B80"/>
    <w:rsid w:val="00626DFF"/>
    <w:rsid w:val="00627037"/>
    <w:rsid w:val="0062705C"/>
    <w:rsid w:val="00627085"/>
    <w:rsid w:val="00627564"/>
    <w:rsid w:val="00627AE4"/>
    <w:rsid w:val="00627B6C"/>
    <w:rsid w:val="00627EF7"/>
    <w:rsid w:val="0063079A"/>
    <w:rsid w:val="00630DE5"/>
    <w:rsid w:val="00630E10"/>
    <w:rsid w:val="00630E9D"/>
    <w:rsid w:val="006315CB"/>
    <w:rsid w:val="00631E0B"/>
    <w:rsid w:val="00632B10"/>
    <w:rsid w:val="00633096"/>
    <w:rsid w:val="006330E7"/>
    <w:rsid w:val="00633206"/>
    <w:rsid w:val="0063346E"/>
    <w:rsid w:val="00633900"/>
    <w:rsid w:val="00634689"/>
    <w:rsid w:val="00634992"/>
    <w:rsid w:val="00635625"/>
    <w:rsid w:val="0063683C"/>
    <w:rsid w:val="00636B40"/>
    <w:rsid w:val="00636F1D"/>
    <w:rsid w:val="00637348"/>
    <w:rsid w:val="00637834"/>
    <w:rsid w:val="00637A3F"/>
    <w:rsid w:val="00640016"/>
    <w:rsid w:val="006403EC"/>
    <w:rsid w:val="00640582"/>
    <w:rsid w:val="00640E80"/>
    <w:rsid w:val="006413ED"/>
    <w:rsid w:val="006418CA"/>
    <w:rsid w:val="00641D78"/>
    <w:rsid w:val="00641DCE"/>
    <w:rsid w:val="00641F37"/>
    <w:rsid w:val="00642649"/>
    <w:rsid w:val="006427D8"/>
    <w:rsid w:val="00642A15"/>
    <w:rsid w:val="0064379F"/>
    <w:rsid w:val="00644159"/>
    <w:rsid w:val="00644B0E"/>
    <w:rsid w:val="00645210"/>
    <w:rsid w:val="006455E0"/>
    <w:rsid w:val="00645620"/>
    <w:rsid w:val="0064576D"/>
    <w:rsid w:val="00646074"/>
    <w:rsid w:val="006468B3"/>
    <w:rsid w:val="00646F91"/>
    <w:rsid w:val="00647611"/>
    <w:rsid w:val="00647B60"/>
    <w:rsid w:val="006500CD"/>
    <w:rsid w:val="006500D1"/>
    <w:rsid w:val="0065041E"/>
    <w:rsid w:val="00650580"/>
    <w:rsid w:val="00651166"/>
    <w:rsid w:val="006514F6"/>
    <w:rsid w:val="00651546"/>
    <w:rsid w:val="0065173D"/>
    <w:rsid w:val="0065180E"/>
    <w:rsid w:val="00651AF4"/>
    <w:rsid w:val="0065213B"/>
    <w:rsid w:val="00652158"/>
    <w:rsid w:val="00652781"/>
    <w:rsid w:val="00652B91"/>
    <w:rsid w:val="00652E5C"/>
    <w:rsid w:val="00653A4D"/>
    <w:rsid w:val="00653EC0"/>
    <w:rsid w:val="0065411C"/>
    <w:rsid w:val="006542C7"/>
    <w:rsid w:val="006546D1"/>
    <w:rsid w:val="006548EB"/>
    <w:rsid w:val="00655829"/>
    <w:rsid w:val="006559F8"/>
    <w:rsid w:val="00655C9B"/>
    <w:rsid w:val="00655E3A"/>
    <w:rsid w:val="00656553"/>
    <w:rsid w:val="006566D8"/>
    <w:rsid w:val="00656CE6"/>
    <w:rsid w:val="00656E26"/>
    <w:rsid w:val="00657235"/>
    <w:rsid w:val="0065774F"/>
    <w:rsid w:val="0065791D"/>
    <w:rsid w:val="00660769"/>
    <w:rsid w:val="00661605"/>
    <w:rsid w:val="00661B03"/>
    <w:rsid w:val="00661EAB"/>
    <w:rsid w:val="00662B35"/>
    <w:rsid w:val="00662E89"/>
    <w:rsid w:val="006637ED"/>
    <w:rsid w:val="00664C54"/>
    <w:rsid w:val="00665357"/>
    <w:rsid w:val="00665366"/>
    <w:rsid w:val="00665544"/>
    <w:rsid w:val="0066578E"/>
    <w:rsid w:val="00665CC0"/>
    <w:rsid w:val="00665FB6"/>
    <w:rsid w:val="00666E63"/>
    <w:rsid w:val="006678DB"/>
    <w:rsid w:val="0067023B"/>
    <w:rsid w:val="006704C6"/>
    <w:rsid w:val="0067065D"/>
    <w:rsid w:val="006710DE"/>
    <w:rsid w:val="0067119D"/>
    <w:rsid w:val="00671264"/>
    <w:rsid w:val="006721E6"/>
    <w:rsid w:val="00672545"/>
    <w:rsid w:val="006726AB"/>
    <w:rsid w:val="00672739"/>
    <w:rsid w:val="006727A3"/>
    <w:rsid w:val="006727C4"/>
    <w:rsid w:val="006727EC"/>
    <w:rsid w:val="00673879"/>
    <w:rsid w:val="00673943"/>
    <w:rsid w:val="00674569"/>
    <w:rsid w:val="00676501"/>
    <w:rsid w:val="006771B4"/>
    <w:rsid w:val="00677F3E"/>
    <w:rsid w:val="0068056E"/>
    <w:rsid w:val="00680734"/>
    <w:rsid w:val="00680B62"/>
    <w:rsid w:val="00681419"/>
    <w:rsid w:val="0068187A"/>
    <w:rsid w:val="0068192B"/>
    <w:rsid w:val="00681A69"/>
    <w:rsid w:val="00681C17"/>
    <w:rsid w:val="00681D4D"/>
    <w:rsid w:val="00682633"/>
    <w:rsid w:val="0068454D"/>
    <w:rsid w:val="0068464C"/>
    <w:rsid w:val="0068487F"/>
    <w:rsid w:val="00684B60"/>
    <w:rsid w:val="00684D19"/>
    <w:rsid w:val="00685123"/>
    <w:rsid w:val="00685398"/>
    <w:rsid w:val="006854B4"/>
    <w:rsid w:val="00685A99"/>
    <w:rsid w:val="00685B4E"/>
    <w:rsid w:val="00685E63"/>
    <w:rsid w:val="00686246"/>
    <w:rsid w:val="006867F7"/>
    <w:rsid w:val="00686ED8"/>
    <w:rsid w:val="0068740C"/>
    <w:rsid w:val="006874A7"/>
    <w:rsid w:val="00687599"/>
    <w:rsid w:val="0068790B"/>
    <w:rsid w:val="00687AF1"/>
    <w:rsid w:val="00687BFC"/>
    <w:rsid w:val="00687C3F"/>
    <w:rsid w:val="0069036E"/>
    <w:rsid w:val="006904DD"/>
    <w:rsid w:val="006908B4"/>
    <w:rsid w:val="00690AA2"/>
    <w:rsid w:val="006913E8"/>
    <w:rsid w:val="00692264"/>
    <w:rsid w:val="006927C6"/>
    <w:rsid w:val="00693F00"/>
    <w:rsid w:val="00694089"/>
    <w:rsid w:val="006944BD"/>
    <w:rsid w:val="0069483C"/>
    <w:rsid w:val="00694C8B"/>
    <w:rsid w:val="00694EE2"/>
    <w:rsid w:val="00695A56"/>
    <w:rsid w:val="0069642D"/>
    <w:rsid w:val="00696831"/>
    <w:rsid w:val="00696981"/>
    <w:rsid w:val="00697337"/>
    <w:rsid w:val="0069789A"/>
    <w:rsid w:val="00697B0C"/>
    <w:rsid w:val="006A0A07"/>
    <w:rsid w:val="006A0C2F"/>
    <w:rsid w:val="006A0FEA"/>
    <w:rsid w:val="006A13F8"/>
    <w:rsid w:val="006A1734"/>
    <w:rsid w:val="006A17C2"/>
    <w:rsid w:val="006A17E5"/>
    <w:rsid w:val="006A1814"/>
    <w:rsid w:val="006A1F92"/>
    <w:rsid w:val="006A2088"/>
    <w:rsid w:val="006A23EE"/>
    <w:rsid w:val="006A23F5"/>
    <w:rsid w:val="006A29EC"/>
    <w:rsid w:val="006A2B0D"/>
    <w:rsid w:val="006A3616"/>
    <w:rsid w:val="006A41B9"/>
    <w:rsid w:val="006A48B3"/>
    <w:rsid w:val="006A48CF"/>
    <w:rsid w:val="006A4F2F"/>
    <w:rsid w:val="006A5563"/>
    <w:rsid w:val="006A6273"/>
    <w:rsid w:val="006A6D1D"/>
    <w:rsid w:val="006A7510"/>
    <w:rsid w:val="006A7CBB"/>
    <w:rsid w:val="006A7E44"/>
    <w:rsid w:val="006A7E4F"/>
    <w:rsid w:val="006B02AA"/>
    <w:rsid w:val="006B046A"/>
    <w:rsid w:val="006B0556"/>
    <w:rsid w:val="006B081D"/>
    <w:rsid w:val="006B1095"/>
    <w:rsid w:val="006B13BB"/>
    <w:rsid w:val="006B1867"/>
    <w:rsid w:val="006B1B02"/>
    <w:rsid w:val="006B1C11"/>
    <w:rsid w:val="006B1DA6"/>
    <w:rsid w:val="006B2702"/>
    <w:rsid w:val="006B287F"/>
    <w:rsid w:val="006B2BEB"/>
    <w:rsid w:val="006B2BEF"/>
    <w:rsid w:val="006B3538"/>
    <w:rsid w:val="006B3C63"/>
    <w:rsid w:val="006B3CA9"/>
    <w:rsid w:val="006B3E21"/>
    <w:rsid w:val="006B4493"/>
    <w:rsid w:val="006B476C"/>
    <w:rsid w:val="006B4AEB"/>
    <w:rsid w:val="006B5D38"/>
    <w:rsid w:val="006B62F7"/>
    <w:rsid w:val="006C0045"/>
    <w:rsid w:val="006C181D"/>
    <w:rsid w:val="006C28DF"/>
    <w:rsid w:val="006C2CE0"/>
    <w:rsid w:val="006C3054"/>
    <w:rsid w:val="006C327E"/>
    <w:rsid w:val="006C38F0"/>
    <w:rsid w:val="006C3A25"/>
    <w:rsid w:val="006C4031"/>
    <w:rsid w:val="006C448B"/>
    <w:rsid w:val="006C523F"/>
    <w:rsid w:val="006C5330"/>
    <w:rsid w:val="006C537D"/>
    <w:rsid w:val="006C53F8"/>
    <w:rsid w:val="006C55B6"/>
    <w:rsid w:val="006C5608"/>
    <w:rsid w:val="006C5684"/>
    <w:rsid w:val="006C57FA"/>
    <w:rsid w:val="006C62B3"/>
    <w:rsid w:val="006C6ABF"/>
    <w:rsid w:val="006C7C39"/>
    <w:rsid w:val="006C7DB9"/>
    <w:rsid w:val="006D0D11"/>
    <w:rsid w:val="006D1A53"/>
    <w:rsid w:val="006D1EAD"/>
    <w:rsid w:val="006D209F"/>
    <w:rsid w:val="006D2D42"/>
    <w:rsid w:val="006D315F"/>
    <w:rsid w:val="006D3ADD"/>
    <w:rsid w:val="006D3EE0"/>
    <w:rsid w:val="006D46D6"/>
    <w:rsid w:val="006D4DFE"/>
    <w:rsid w:val="006D513C"/>
    <w:rsid w:val="006D53AA"/>
    <w:rsid w:val="006D549B"/>
    <w:rsid w:val="006D57EC"/>
    <w:rsid w:val="006D58AF"/>
    <w:rsid w:val="006D5C1B"/>
    <w:rsid w:val="006D5CA2"/>
    <w:rsid w:val="006D5F06"/>
    <w:rsid w:val="006D700E"/>
    <w:rsid w:val="006D70F1"/>
    <w:rsid w:val="006E088F"/>
    <w:rsid w:val="006E08DD"/>
    <w:rsid w:val="006E0CD9"/>
    <w:rsid w:val="006E0DA8"/>
    <w:rsid w:val="006E27A4"/>
    <w:rsid w:val="006E2CDC"/>
    <w:rsid w:val="006E2DFA"/>
    <w:rsid w:val="006E3598"/>
    <w:rsid w:val="006E40B3"/>
    <w:rsid w:val="006E45A3"/>
    <w:rsid w:val="006E5306"/>
    <w:rsid w:val="006E53C5"/>
    <w:rsid w:val="006E5865"/>
    <w:rsid w:val="006E5CE3"/>
    <w:rsid w:val="006E6170"/>
    <w:rsid w:val="006E65D3"/>
    <w:rsid w:val="006E66A6"/>
    <w:rsid w:val="006E7A88"/>
    <w:rsid w:val="006F0050"/>
    <w:rsid w:val="006F022E"/>
    <w:rsid w:val="006F059C"/>
    <w:rsid w:val="006F0F58"/>
    <w:rsid w:val="006F1FBF"/>
    <w:rsid w:val="006F2568"/>
    <w:rsid w:val="006F275E"/>
    <w:rsid w:val="006F2818"/>
    <w:rsid w:val="006F2930"/>
    <w:rsid w:val="006F2A69"/>
    <w:rsid w:val="006F2BA1"/>
    <w:rsid w:val="006F34A0"/>
    <w:rsid w:val="006F355C"/>
    <w:rsid w:val="006F3A12"/>
    <w:rsid w:val="006F43BC"/>
    <w:rsid w:val="006F46DF"/>
    <w:rsid w:val="006F5187"/>
    <w:rsid w:val="006F597A"/>
    <w:rsid w:val="006F5EB6"/>
    <w:rsid w:val="006F5FDB"/>
    <w:rsid w:val="006F61A9"/>
    <w:rsid w:val="006F6AA8"/>
    <w:rsid w:val="006F7CB4"/>
    <w:rsid w:val="006F7CDE"/>
    <w:rsid w:val="00700073"/>
    <w:rsid w:val="00700211"/>
    <w:rsid w:val="00700217"/>
    <w:rsid w:val="00700232"/>
    <w:rsid w:val="0070037F"/>
    <w:rsid w:val="00700DD4"/>
    <w:rsid w:val="007014B2"/>
    <w:rsid w:val="00701AC7"/>
    <w:rsid w:val="00701CE0"/>
    <w:rsid w:val="00701E13"/>
    <w:rsid w:val="00702062"/>
    <w:rsid w:val="007026F8"/>
    <w:rsid w:val="00702A60"/>
    <w:rsid w:val="00702D72"/>
    <w:rsid w:val="00702E61"/>
    <w:rsid w:val="00703376"/>
    <w:rsid w:val="00704992"/>
    <w:rsid w:val="007069EF"/>
    <w:rsid w:val="00706F10"/>
    <w:rsid w:val="007071DC"/>
    <w:rsid w:val="007072BF"/>
    <w:rsid w:val="007074F5"/>
    <w:rsid w:val="0070781C"/>
    <w:rsid w:val="0071081C"/>
    <w:rsid w:val="00710B62"/>
    <w:rsid w:val="00710BA9"/>
    <w:rsid w:val="0071149C"/>
    <w:rsid w:val="0071171A"/>
    <w:rsid w:val="007118E3"/>
    <w:rsid w:val="0071281B"/>
    <w:rsid w:val="007129E7"/>
    <w:rsid w:val="00712D4B"/>
    <w:rsid w:val="00712E05"/>
    <w:rsid w:val="007130BB"/>
    <w:rsid w:val="00713227"/>
    <w:rsid w:val="00713AB4"/>
    <w:rsid w:val="00713C13"/>
    <w:rsid w:val="00713E88"/>
    <w:rsid w:val="00713FB2"/>
    <w:rsid w:val="00714571"/>
    <w:rsid w:val="0071467A"/>
    <w:rsid w:val="007148F4"/>
    <w:rsid w:val="0071494E"/>
    <w:rsid w:val="00714EF6"/>
    <w:rsid w:val="0071778D"/>
    <w:rsid w:val="007177E7"/>
    <w:rsid w:val="007178F1"/>
    <w:rsid w:val="00717A62"/>
    <w:rsid w:val="00717D48"/>
    <w:rsid w:val="00717F25"/>
    <w:rsid w:val="00720287"/>
    <w:rsid w:val="00720F52"/>
    <w:rsid w:val="00721136"/>
    <w:rsid w:val="00721654"/>
    <w:rsid w:val="007216F8"/>
    <w:rsid w:val="00721F4D"/>
    <w:rsid w:val="00722365"/>
    <w:rsid w:val="00722397"/>
    <w:rsid w:val="007225CF"/>
    <w:rsid w:val="007226C0"/>
    <w:rsid w:val="007228E8"/>
    <w:rsid w:val="0072299F"/>
    <w:rsid w:val="00722A3A"/>
    <w:rsid w:val="00722D32"/>
    <w:rsid w:val="007230E0"/>
    <w:rsid w:val="00723658"/>
    <w:rsid w:val="00723A62"/>
    <w:rsid w:val="0072416D"/>
    <w:rsid w:val="00724504"/>
    <w:rsid w:val="0072491D"/>
    <w:rsid w:val="00724CE6"/>
    <w:rsid w:val="00724DE9"/>
    <w:rsid w:val="007252FC"/>
    <w:rsid w:val="007254EA"/>
    <w:rsid w:val="007257C8"/>
    <w:rsid w:val="00726451"/>
    <w:rsid w:val="007265A4"/>
    <w:rsid w:val="007267EA"/>
    <w:rsid w:val="00726882"/>
    <w:rsid w:val="00726B21"/>
    <w:rsid w:val="00726B78"/>
    <w:rsid w:val="00727BAB"/>
    <w:rsid w:val="00727C43"/>
    <w:rsid w:val="0073012E"/>
    <w:rsid w:val="0073062C"/>
    <w:rsid w:val="00731ED2"/>
    <w:rsid w:val="0073245F"/>
    <w:rsid w:val="00732814"/>
    <w:rsid w:val="00732934"/>
    <w:rsid w:val="00732B16"/>
    <w:rsid w:val="00732E3D"/>
    <w:rsid w:val="00733196"/>
    <w:rsid w:val="007332F0"/>
    <w:rsid w:val="0073378E"/>
    <w:rsid w:val="00734772"/>
    <w:rsid w:val="00734C4D"/>
    <w:rsid w:val="0073557D"/>
    <w:rsid w:val="00735714"/>
    <w:rsid w:val="007359EC"/>
    <w:rsid w:val="00735B07"/>
    <w:rsid w:val="00735DD5"/>
    <w:rsid w:val="0073610E"/>
    <w:rsid w:val="00736813"/>
    <w:rsid w:val="00736AB7"/>
    <w:rsid w:val="00736BC4"/>
    <w:rsid w:val="0073739D"/>
    <w:rsid w:val="00737B6A"/>
    <w:rsid w:val="00737DB2"/>
    <w:rsid w:val="00740355"/>
    <w:rsid w:val="00740477"/>
    <w:rsid w:val="00740529"/>
    <w:rsid w:val="0074094B"/>
    <w:rsid w:val="00740D76"/>
    <w:rsid w:val="0074199D"/>
    <w:rsid w:val="00742115"/>
    <w:rsid w:val="00742512"/>
    <w:rsid w:val="00742952"/>
    <w:rsid w:val="007429B9"/>
    <w:rsid w:val="00742BE3"/>
    <w:rsid w:val="00742CBD"/>
    <w:rsid w:val="00742D91"/>
    <w:rsid w:val="00742F70"/>
    <w:rsid w:val="00742FF0"/>
    <w:rsid w:val="007434B3"/>
    <w:rsid w:val="007439F2"/>
    <w:rsid w:val="00744061"/>
    <w:rsid w:val="00744293"/>
    <w:rsid w:val="00744651"/>
    <w:rsid w:val="00744777"/>
    <w:rsid w:val="00744BF5"/>
    <w:rsid w:val="00744D26"/>
    <w:rsid w:val="00745632"/>
    <w:rsid w:val="00745D15"/>
    <w:rsid w:val="00746467"/>
    <w:rsid w:val="007468A4"/>
    <w:rsid w:val="007469B4"/>
    <w:rsid w:val="00747853"/>
    <w:rsid w:val="00747D06"/>
    <w:rsid w:val="00747DC6"/>
    <w:rsid w:val="00750299"/>
    <w:rsid w:val="0075066A"/>
    <w:rsid w:val="00750F67"/>
    <w:rsid w:val="007515C2"/>
    <w:rsid w:val="0075173D"/>
    <w:rsid w:val="00751DBF"/>
    <w:rsid w:val="00752F34"/>
    <w:rsid w:val="00752FEB"/>
    <w:rsid w:val="00753068"/>
    <w:rsid w:val="00753186"/>
    <w:rsid w:val="007531FE"/>
    <w:rsid w:val="007537B6"/>
    <w:rsid w:val="007544AD"/>
    <w:rsid w:val="0075478C"/>
    <w:rsid w:val="00754A97"/>
    <w:rsid w:val="007556C2"/>
    <w:rsid w:val="007559D2"/>
    <w:rsid w:val="00755E00"/>
    <w:rsid w:val="00755E0E"/>
    <w:rsid w:val="00756B46"/>
    <w:rsid w:val="00756BB3"/>
    <w:rsid w:val="00756F98"/>
    <w:rsid w:val="0075715D"/>
    <w:rsid w:val="007572B0"/>
    <w:rsid w:val="00760B31"/>
    <w:rsid w:val="00762293"/>
    <w:rsid w:val="007630E0"/>
    <w:rsid w:val="007631CE"/>
    <w:rsid w:val="007637B6"/>
    <w:rsid w:val="007638D5"/>
    <w:rsid w:val="00763FDD"/>
    <w:rsid w:val="0076444E"/>
    <w:rsid w:val="00764458"/>
    <w:rsid w:val="00764770"/>
    <w:rsid w:val="00765656"/>
    <w:rsid w:val="007658C5"/>
    <w:rsid w:val="007659F0"/>
    <w:rsid w:val="00765C39"/>
    <w:rsid w:val="007670A5"/>
    <w:rsid w:val="00767647"/>
    <w:rsid w:val="007678B3"/>
    <w:rsid w:val="00767F44"/>
    <w:rsid w:val="00770222"/>
    <w:rsid w:val="007705D8"/>
    <w:rsid w:val="0077089F"/>
    <w:rsid w:val="00770CF7"/>
    <w:rsid w:val="00771284"/>
    <w:rsid w:val="00771604"/>
    <w:rsid w:val="007717E4"/>
    <w:rsid w:val="00771A49"/>
    <w:rsid w:val="007722B6"/>
    <w:rsid w:val="007728AA"/>
    <w:rsid w:val="0077378F"/>
    <w:rsid w:val="00773D16"/>
    <w:rsid w:val="00773E42"/>
    <w:rsid w:val="0077434B"/>
    <w:rsid w:val="00774A1D"/>
    <w:rsid w:val="00775250"/>
    <w:rsid w:val="00775871"/>
    <w:rsid w:val="00775D1F"/>
    <w:rsid w:val="007766E9"/>
    <w:rsid w:val="0077672F"/>
    <w:rsid w:val="00776FBE"/>
    <w:rsid w:val="0077716C"/>
    <w:rsid w:val="007775DE"/>
    <w:rsid w:val="00777A67"/>
    <w:rsid w:val="00780CE8"/>
    <w:rsid w:val="0078148B"/>
    <w:rsid w:val="00781DEA"/>
    <w:rsid w:val="00781DFD"/>
    <w:rsid w:val="007828ED"/>
    <w:rsid w:val="00782B19"/>
    <w:rsid w:val="00782E12"/>
    <w:rsid w:val="00783091"/>
    <w:rsid w:val="007838FA"/>
    <w:rsid w:val="00783908"/>
    <w:rsid w:val="00783BF1"/>
    <w:rsid w:val="00783F46"/>
    <w:rsid w:val="007846F9"/>
    <w:rsid w:val="00784AA7"/>
    <w:rsid w:val="00784C42"/>
    <w:rsid w:val="00784D7D"/>
    <w:rsid w:val="007852AE"/>
    <w:rsid w:val="007858A2"/>
    <w:rsid w:val="00785C05"/>
    <w:rsid w:val="007860AF"/>
    <w:rsid w:val="007864B5"/>
    <w:rsid w:val="00786650"/>
    <w:rsid w:val="007866A2"/>
    <w:rsid w:val="007871E9"/>
    <w:rsid w:val="007872A2"/>
    <w:rsid w:val="00790078"/>
    <w:rsid w:val="007900F1"/>
    <w:rsid w:val="007911BB"/>
    <w:rsid w:val="00791270"/>
    <w:rsid w:val="00791C44"/>
    <w:rsid w:val="007921F3"/>
    <w:rsid w:val="007924CB"/>
    <w:rsid w:val="00792FB0"/>
    <w:rsid w:val="007930C2"/>
    <w:rsid w:val="00793901"/>
    <w:rsid w:val="00793AD0"/>
    <w:rsid w:val="00794292"/>
    <w:rsid w:val="00794DFD"/>
    <w:rsid w:val="00794EE7"/>
    <w:rsid w:val="00795C83"/>
    <w:rsid w:val="0079642A"/>
    <w:rsid w:val="007965A7"/>
    <w:rsid w:val="007972EA"/>
    <w:rsid w:val="0079754E"/>
    <w:rsid w:val="00797804"/>
    <w:rsid w:val="00797B88"/>
    <w:rsid w:val="007A0B50"/>
    <w:rsid w:val="007A0E0D"/>
    <w:rsid w:val="007A1459"/>
    <w:rsid w:val="007A38AD"/>
    <w:rsid w:val="007A3A51"/>
    <w:rsid w:val="007A4480"/>
    <w:rsid w:val="007A4806"/>
    <w:rsid w:val="007A484C"/>
    <w:rsid w:val="007A4964"/>
    <w:rsid w:val="007A5132"/>
    <w:rsid w:val="007A6162"/>
    <w:rsid w:val="007A68AC"/>
    <w:rsid w:val="007A6AB6"/>
    <w:rsid w:val="007A6D6A"/>
    <w:rsid w:val="007A7116"/>
    <w:rsid w:val="007A71BD"/>
    <w:rsid w:val="007A7774"/>
    <w:rsid w:val="007A7B5E"/>
    <w:rsid w:val="007A7B7D"/>
    <w:rsid w:val="007B002C"/>
    <w:rsid w:val="007B0476"/>
    <w:rsid w:val="007B07C7"/>
    <w:rsid w:val="007B0C14"/>
    <w:rsid w:val="007B0C75"/>
    <w:rsid w:val="007B10A0"/>
    <w:rsid w:val="007B1485"/>
    <w:rsid w:val="007B1729"/>
    <w:rsid w:val="007B259F"/>
    <w:rsid w:val="007B2840"/>
    <w:rsid w:val="007B310B"/>
    <w:rsid w:val="007B311B"/>
    <w:rsid w:val="007B3AA1"/>
    <w:rsid w:val="007B3CD4"/>
    <w:rsid w:val="007B4228"/>
    <w:rsid w:val="007B442C"/>
    <w:rsid w:val="007B448F"/>
    <w:rsid w:val="007B45D3"/>
    <w:rsid w:val="007B4A75"/>
    <w:rsid w:val="007B55F1"/>
    <w:rsid w:val="007B599F"/>
    <w:rsid w:val="007B5D61"/>
    <w:rsid w:val="007B602C"/>
    <w:rsid w:val="007B6099"/>
    <w:rsid w:val="007B64BD"/>
    <w:rsid w:val="007B65AF"/>
    <w:rsid w:val="007B6C0A"/>
    <w:rsid w:val="007B78CC"/>
    <w:rsid w:val="007B7B5A"/>
    <w:rsid w:val="007C019F"/>
    <w:rsid w:val="007C0273"/>
    <w:rsid w:val="007C1012"/>
    <w:rsid w:val="007C119E"/>
    <w:rsid w:val="007C11AC"/>
    <w:rsid w:val="007C1A4B"/>
    <w:rsid w:val="007C23FE"/>
    <w:rsid w:val="007C24F4"/>
    <w:rsid w:val="007C33D9"/>
    <w:rsid w:val="007C3547"/>
    <w:rsid w:val="007C3570"/>
    <w:rsid w:val="007C3589"/>
    <w:rsid w:val="007C372C"/>
    <w:rsid w:val="007C3BD0"/>
    <w:rsid w:val="007C4F8D"/>
    <w:rsid w:val="007C53A3"/>
    <w:rsid w:val="007C6AA6"/>
    <w:rsid w:val="007C75C2"/>
    <w:rsid w:val="007C77A8"/>
    <w:rsid w:val="007C78D8"/>
    <w:rsid w:val="007C7F8A"/>
    <w:rsid w:val="007D0470"/>
    <w:rsid w:val="007D057A"/>
    <w:rsid w:val="007D06D5"/>
    <w:rsid w:val="007D077C"/>
    <w:rsid w:val="007D0C16"/>
    <w:rsid w:val="007D1C7E"/>
    <w:rsid w:val="007D222C"/>
    <w:rsid w:val="007D246D"/>
    <w:rsid w:val="007D2CAB"/>
    <w:rsid w:val="007D3480"/>
    <w:rsid w:val="007D4032"/>
    <w:rsid w:val="007D46C9"/>
    <w:rsid w:val="007D4816"/>
    <w:rsid w:val="007D4AFA"/>
    <w:rsid w:val="007D4DA1"/>
    <w:rsid w:val="007D5287"/>
    <w:rsid w:val="007D5336"/>
    <w:rsid w:val="007D5B64"/>
    <w:rsid w:val="007D63F2"/>
    <w:rsid w:val="007D6E6C"/>
    <w:rsid w:val="007D7115"/>
    <w:rsid w:val="007D766A"/>
    <w:rsid w:val="007E13F7"/>
    <w:rsid w:val="007E1801"/>
    <w:rsid w:val="007E1BA7"/>
    <w:rsid w:val="007E1D96"/>
    <w:rsid w:val="007E1FE3"/>
    <w:rsid w:val="007E242F"/>
    <w:rsid w:val="007E285B"/>
    <w:rsid w:val="007E2A0C"/>
    <w:rsid w:val="007E2BC9"/>
    <w:rsid w:val="007E2C3A"/>
    <w:rsid w:val="007E380B"/>
    <w:rsid w:val="007E3913"/>
    <w:rsid w:val="007E3DE0"/>
    <w:rsid w:val="007E4349"/>
    <w:rsid w:val="007E4C75"/>
    <w:rsid w:val="007E51BE"/>
    <w:rsid w:val="007E58FC"/>
    <w:rsid w:val="007E5910"/>
    <w:rsid w:val="007E75D0"/>
    <w:rsid w:val="007F01F2"/>
    <w:rsid w:val="007F02BD"/>
    <w:rsid w:val="007F0C35"/>
    <w:rsid w:val="007F1ED6"/>
    <w:rsid w:val="007F2134"/>
    <w:rsid w:val="007F2FA3"/>
    <w:rsid w:val="007F3115"/>
    <w:rsid w:val="007F3B16"/>
    <w:rsid w:val="007F3B9C"/>
    <w:rsid w:val="007F4174"/>
    <w:rsid w:val="007F4677"/>
    <w:rsid w:val="007F4B28"/>
    <w:rsid w:val="007F4C19"/>
    <w:rsid w:val="007F4D5D"/>
    <w:rsid w:val="007F4EDD"/>
    <w:rsid w:val="007F5A58"/>
    <w:rsid w:val="007F6249"/>
    <w:rsid w:val="007F63AD"/>
    <w:rsid w:val="007F6463"/>
    <w:rsid w:val="007F71F4"/>
    <w:rsid w:val="007F7F62"/>
    <w:rsid w:val="0080048C"/>
    <w:rsid w:val="00800A11"/>
    <w:rsid w:val="00800F08"/>
    <w:rsid w:val="00803554"/>
    <w:rsid w:val="00803788"/>
    <w:rsid w:val="008037B6"/>
    <w:rsid w:val="0080405B"/>
    <w:rsid w:val="00804E9C"/>
    <w:rsid w:val="00805131"/>
    <w:rsid w:val="0080604E"/>
    <w:rsid w:val="00806657"/>
    <w:rsid w:val="00806940"/>
    <w:rsid w:val="00806DEC"/>
    <w:rsid w:val="00807170"/>
    <w:rsid w:val="00807505"/>
    <w:rsid w:val="0081021B"/>
    <w:rsid w:val="0081045D"/>
    <w:rsid w:val="00810687"/>
    <w:rsid w:val="00810B1C"/>
    <w:rsid w:val="00811156"/>
    <w:rsid w:val="008116C5"/>
    <w:rsid w:val="008126C4"/>
    <w:rsid w:val="00812F46"/>
    <w:rsid w:val="00813565"/>
    <w:rsid w:val="0081382E"/>
    <w:rsid w:val="00813B89"/>
    <w:rsid w:val="00814252"/>
    <w:rsid w:val="00814558"/>
    <w:rsid w:val="008145DA"/>
    <w:rsid w:val="00814AC9"/>
    <w:rsid w:val="0081553A"/>
    <w:rsid w:val="008163CC"/>
    <w:rsid w:val="0081695A"/>
    <w:rsid w:val="00820865"/>
    <w:rsid w:val="00820B31"/>
    <w:rsid w:val="008210ED"/>
    <w:rsid w:val="00821A3B"/>
    <w:rsid w:val="00822085"/>
    <w:rsid w:val="008220FC"/>
    <w:rsid w:val="00822B14"/>
    <w:rsid w:val="008230EA"/>
    <w:rsid w:val="00823D46"/>
    <w:rsid w:val="0082444C"/>
    <w:rsid w:val="00826025"/>
    <w:rsid w:val="00826195"/>
    <w:rsid w:val="00826368"/>
    <w:rsid w:val="00826BFB"/>
    <w:rsid w:val="008274F5"/>
    <w:rsid w:val="008279E9"/>
    <w:rsid w:val="00827B3B"/>
    <w:rsid w:val="00830005"/>
    <w:rsid w:val="00830376"/>
    <w:rsid w:val="00830AD1"/>
    <w:rsid w:val="00830F49"/>
    <w:rsid w:val="0083104B"/>
    <w:rsid w:val="00831E4F"/>
    <w:rsid w:val="008322E8"/>
    <w:rsid w:val="00833599"/>
    <w:rsid w:val="008337E7"/>
    <w:rsid w:val="00833EB0"/>
    <w:rsid w:val="00834281"/>
    <w:rsid w:val="0083435C"/>
    <w:rsid w:val="00835865"/>
    <w:rsid w:val="00835F56"/>
    <w:rsid w:val="00836403"/>
    <w:rsid w:val="008366F1"/>
    <w:rsid w:val="00836C32"/>
    <w:rsid w:val="00836EA1"/>
    <w:rsid w:val="00836FE2"/>
    <w:rsid w:val="008371FD"/>
    <w:rsid w:val="00837412"/>
    <w:rsid w:val="008377B0"/>
    <w:rsid w:val="00837C76"/>
    <w:rsid w:val="00837C85"/>
    <w:rsid w:val="00840388"/>
    <w:rsid w:val="00840C36"/>
    <w:rsid w:val="00840C8A"/>
    <w:rsid w:val="00840DB8"/>
    <w:rsid w:val="00840FD3"/>
    <w:rsid w:val="00841EE8"/>
    <w:rsid w:val="00842A46"/>
    <w:rsid w:val="00842E06"/>
    <w:rsid w:val="00842E9B"/>
    <w:rsid w:val="00843055"/>
    <w:rsid w:val="0084317B"/>
    <w:rsid w:val="00843508"/>
    <w:rsid w:val="00843871"/>
    <w:rsid w:val="008438EE"/>
    <w:rsid w:val="00843D66"/>
    <w:rsid w:val="00843E52"/>
    <w:rsid w:val="00844040"/>
    <w:rsid w:val="00844264"/>
    <w:rsid w:val="0084444B"/>
    <w:rsid w:val="00844ED5"/>
    <w:rsid w:val="0084553E"/>
    <w:rsid w:val="008458B0"/>
    <w:rsid w:val="00845E94"/>
    <w:rsid w:val="00846059"/>
    <w:rsid w:val="008466F6"/>
    <w:rsid w:val="00846AA2"/>
    <w:rsid w:val="0084749B"/>
    <w:rsid w:val="008478FE"/>
    <w:rsid w:val="00847DB6"/>
    <w:rsid w:val="00847E23"/>
    <w:rsid w:val="00847E5F"/>
    <w:rsid w:val="0085066A"/>
    <w:rsid w:val="00850BB0"/>
    <w:rsid w:val="00851101"/>
    <w:rsid w:val="0085115F"/>
    <w:rsid w:val="008513B7"/>
    <w:rsid w:val="00852318"/>
    <w:rsid w:val="00852826"/>
    <w:rsid w:val="0085295B"/>
    <w:rsid w:val="00852960"/>
    <w:rsid w:val="0085335E"/>
    <w:rsid w:val="00853C05"/>
    <w:rsid w:val="00853E58"/>
    <w:rsid w:val="008540AA"/>
    <w:rsid w:val="00854BD4"/>
    <w:rsid w:val="008550EF"/>
    <w:rsid w:val="008551B9"/>
    <w:rsid w:val="00855844"/>
    <w:rsid w:val="00855903"/>
    <w:rsid w:val="00855D2B"/>
    <w:rsid w:val="00855D69"/>
    <w:rsid w:val="00855DAF"/>
    <w:rsid w:val="00856099"/>
    <w:rsid w:val="0085672B"/>
    <w:rsid w:val="00856EF2"/>
    <w:rsid w:val="00857470"/>
    <w:rsid w:val="00857938"/>
    <w:rsid w:val="00857B09"/>
    <w:rsid w:val="00857D5E"/>
    <w:rsid w:val="008600F8"/>
    <w:rsid w:val="00860391"/>
    <w:rsid w:val="00860625"/>
    <w:rsid w:val="00860950"/>
    <w:rsid w:val="00860FC2"/>
    <w:rsid w:val="00861507"/>
    <w:rsid w:val="0086177B"/>
    <w:rsid w:val="00861F8A"/>
    <w:rsid w:val="008622FF"/>
    <w:rsid w:val="0086247E"/>
    <w:rsid w:val="00864478"/>
    <w:rsid w:val="008645ED"/>
    <w:rsid w:val="00864AFE"/>
    <w:rsid w:val="00865206"/>
    <w:rsid w:val="008652D1"/>
    <w:rsid w:val="008655B6"/>
    <w:rsid w:val="00865E24"/>
    <w:rsid w:val="008669C3"/>
    <w:rsid w:val="00866CEA"/>
    <w:rsid w:val="00867793"/>
    <w:rsid w:val="00867FAE"/>
    <w:rsid w:val="00870227"/>
    <w:rsid w:val="00870374"/>
    <w:rsid w:val="00870653"/>
    <w:rsid w:val="00870BED"/>
    <w:rsid w:val="00870E9B"/>
    <w:rsid w:val="00871D6A"/>
    <w:rsid w:val="00872095"/>
    <w:rsid w:val="00872136"/>
    <w:rsid w:val="008729B8"/>
    <w:rsid w:val="0087324F"/>
    <w:rsid w:val="0087403C"/>
    <w:rsid w:val="008744CC"/>
    <w:rsid w:val="00874A69"/>
    <w:rsid w:val="00874F94"/>
    <w:rsid w:val="00875320"/>
    <w:rsid w:val="00875763"/>
    <w:rsid w:val="00875AE9"/>
    <w:rsid w:val="00875C0A"/>
    <w:rsid w:val="00875FCD"/>
    <w:rsid w:val="0087652B"/>
    <w:rsid w:val="00876A5B"/>
    <w:rsid w:val="00876C0C"/>
    <w:rsid w:val="0087761B"/>
    <w:rsid w:val="0087787C"/>
    <w:rsid w:val="00877972"/>
    <w:rsid w:val="00877F91"/>
    <w:rsid w:val="00880400"/>
    <w:rsid w:val="00880820"/>
    <w:rsid w:val="00880EBB"/>
    <w:rsid w:val="00880FA5"/>
    <w:rsid w:val="008811E5"/>
    <w:rsid w:val="008812CF"/>
    <w:rsid w:val="00881C3A"/>
    <w:rsid w:val="0088222C"/>
    <w:rsid w:val="00882C61"/>
    <w:rsid w:val="00882C8D"/>
    <w:rsid w:val="00882E91"/>
    <w:rsid w:val="00883C4D"/>
    <w:rsid w:val="00884488"/>
    <w:rsid w:val="00884763"/>
    <w:rsid w:val="00884C06"/>
    <w:rsid w:val="00884EE7"/>
    <w:rsid w:val="00885024"/>
    <w:rsid w:val="008858E8"/>
    <w:rsid w:val="00885C5F"/>
    <w:rsid w:val="00885C90"/>
    <w:rsid w:val="00886672"/>
    <w:rsid w:val="008870A5"/>
    <w:rsid w:val="00887449"/>
    <w:rsid w:val="00887911"/>
    <w:rsid w:val="0088794F"/>
    <w:rsid w:val="008879AE"/>
    <w:rsid w:val="00887E7E"/>
    <w:rsid w:val="0089006B"/>
    <w:rsid w:val="00890141"/>
    <w:rsid w:val="00890332"/>
    <w:rsid w:val="00890AE0"/>
    <w:rsid w:val="00890C44"/>
    <w:rsid w:val="00891216"/>
    <w:rsid w:val="008916DC"/>
    <w:rsid w:val="00891FC4"/>
    <w:rsid w:val="008920EE"/>
    <w:rsid w:val="00892195"/>
    <w:rsid w:val="008922F5"/>
    <w:rsid w:val="00892662"/>
    <w:rsid w:val="008938DF"/>
    <w:rsid w:val="00893CE6"/>
    <w:rsid w:val="00894654"/>
    <w:rsid w:val="008953BD"/>
    <w:rsid w:val="00896396"/>
    <w:rsid w:val="008969EB"/>
    <w:rsid w:val="00896C5E"/>
    <w:rsid w:val="00897074"/>
    <w:rsid w:val="00897596"/>
    <w:rsid w:val="0089794B"/>
    <w:rsid w:val="00897DC5"/>
    <w:rsid w:val="008A07F4"/>
    <w:rsid w:val="008A11E2"/>
    <w:rsid w:val="008A1356"/>
    <w:rsid w:val="008A177B"/>
    <w:rsid w:val="008A20BA"/>
    <w:rsid w:val="008A2153"/>
    <w:rsid w:val="008A23A3"/>
    <w:rsid w:val="008A2C4A"/>
    <w:rsid w:val="008A3BBF"/>
    <w:rsid w:val="008A3D2A"/>
    <w:rsid w:val="008A4033"/>
    <w:rsid w:val="008A4326"/>
    <w:rsid w:val="008A5034"/>
    <w:rsid w:val="008A52C9"/>
    <w:rsid w:val="008A64A8"/>
    <w:rsid w:val="008A6F52"/>
    <w:rsid w:val="008A7297"/>
    <w:rsid w:val="008A7D02"/>
    <w:rsid w:val="008B0AFA"/>
    <w:rsid w:val="008B1505"/>
    <w:rsid w:val="008B1542"/>
    <w:rsid w:val="008B1AC8"/>
    <w:rsid w:val="008B1AD8"/>
    <w:rsid w:val="008B1D9A"/>
    <w:rsid w:val="008B231D"/>
    <w:rsid w:val="008B2860"/>
    <w:rsid w:val="008B31E3"/>
    <w:rsid w:val="008B372E"/>
    <w:rsid w:val="008B3AB0"/>
    <w:rsid w:val="008B3B31"/>
    <w:rsid w:val="008B3E92"/>
    <w:rsid w:val="008B52F3"/>
    <w:rsid w:val="008B5D07"/>
    <w:rsid w:val="008B75B0"/>
    <w:rsid w:val="008B7775"/>
    <w:rsid w:val="008B7D47"/>
    <w:rsid w:val="008C0245"/>
    <w:rsid w:val="008C0B68"/>
    <w:rsid w:val="008C1294"/>
    <w:rsid w:val="008C12F8"/>
    <w:rsid w:val="008C15A3"/>
    <w:rsid w:val="008C192C"/>
    <w:rsid w:val="008C1DBA"/>
    <w:rsid w:val="008C3279"/>
    <w:rsid w:val="008C3579"/>
    <w:rsid w:val="008C3FA0"/>
    <w:rsid w:val="008C4026"/>
    <w:rsid w:val="008C470D"/>
    <w:rsid w:val="008C47CF"/>
    <w:rsid w:val="008C4D68"/>
    <w:rsid w:val="008C4EA7"/>
    <w:rsid w:val="008C4FA4"/>
    <w:rsid w:val="008C5E5F"/>
    <w:rsid w:val="008C60B2"/>
    <w:rsid w:val="008C6579"/>
    <w:rsid w:val="008C671B"/>
    <w:rsid w:val="008C6D25"/>
    <w:rsid w:val="008C7676"/>
    <w:rsid w:val="008D049F"/>
    <w:rsid w:val="008D110F"/>
    <w:rsid w:val="008D13AD"/>
    <w:rsid w:val="008D1D77"/>
    <w:rsid w:val="008D1F7E"/>
    <w:rsid w:val="008D2616"/>
    <w:rsid w:val="008D2962"/>
    <w:rsid w:val="008D2A82"/>
    <w:rsid w:val="008D2BCB"/>
    <w:rsid w:val="008D2DE5"/>
    <w:rsid w:val="008D2E13"/>
    <w:rsid w:val="008D3045"/>
    <w:rsid w:val="008D3AAA"/>
    <w:rsid w:val="008D3BEE"/>
    <w:rsid w:val="008D3D79"/>
    <w:rsid w:val="008D44B9"/>
    <w:rsid w:val="008D45A2"/>
    <w:rsid w:val="008D4F2D"/>
    <w:rsid w:val="008D547B"/>
    <w:rsid w:val="008D5AC4"/>
    <w:rsid w:val="008D5C79"/>
    <w:rsid w:val="008D6426"/>
    <w:rsid w:val="008D65AC"/>
    <w:rsid w:val="008D6947"/>
    <w:rsid w:val="008D7310"/>
    <w:rsid w:val="008D755C"/>
    <w:rsid w:val="008D7CF3"/>
    <w:rsid w:val="008D7DB8"/>
    <w:rsid w:val="008E0DA6"/>
    <w:rsid w:val="008E0FCD"/>
    <w:rsid w:val="008E2F23"/>
    <w:rsid w:val="008E388E"/>
    <w:rsid w:val="008E3D88"/>
    <w:rsid w:val="008E4393"/>
    <w:rsid w:val="008E4C62"/>
    <w:rsid w:val="008E5812"/>
    <w:rsid w:val="008E5E95"/>
    <w:rsid w:val="008E6151"/>
    <w:rsid w:val="008E6357"/>
    <w:rsid w:val="008E647C"/>
    <w:rsid w:val="008E6B67"/>
    <w:rsid w:val="008E6E79"/>
    <w:rsid w:val="008E74C8"/>
    <w:rsid w:val="008E75AE"/>
    <w:rsid w:val="008E7689"/>
    <w:rsid w:val="008E7EDC"/>
    <w:rsid w:val="008F024C"/>
    <w:rsid w:val="008F0275"/>
    <w:rsid w:val="008F056E"/>
    <w:rsid w:val="008F2112"/>
    <w:rsid w:val="008F214A"/>
    <w:rsid w:val="008F2183"/>
    <w:rsid w:val="008F2650"/>
    <w:rsid w:val="008F31C6"/>
    <w:rsid w:val="008F391D"/>
    <w:rsid w:val="008F3C29"/>
    <w:rsid w:val="008F3D21"/>
    <w:rsid w:val="008F3E29"/>
    <w:rsid w:val="008F4ECC"/>
    <w:rsid w:val="008F5026"/>
    <w:rsid w:val="008F5C97"/>
    <w:rsid w:val="008F6101"/>
    <w:rsid w:val="008F709E"/>
    <w:rsid w:val="008F772B"/>
    <w:rsid w:val="009002A9"/>
    <w:rsid w:val="0090161B"/>
    <w:rsid w:val="00901B93"/>
    <w:rsid w:val="00901BDF"/>
    <w:rsid w:val="00901C6C"/>
    <w:rsid w:val="009022B9"/>
    <w:rsid w:val="009022E0"/>
    <w:rsid w:val="00902DF2"/>
    <w:rsid w:val="00903883"/>
    <w:rsid w:val="00904485"/>
    <w:rsid w:val="0090489C"/>
    <w:rsid w:val="0090491F"/>
    <w:rsid w:val="00904C3C"/>
    <w:rsid w:val="00904DBD"/>
    <w:rsid w:val="00904DF6"/>
    <w:rsid w:val="009055EF"/>
    <w:rsid w:val="00905987"/>
    <w:rsid w:val="00905B4B"/>
    <w:rsid w:val="00905B99"/>
    <w:rsid w:val="0090650B"/>
    <w:rsid w:val="0090685A"/>
    <w:rsid w:val="00906C20"/>
    <w:rsid w:val="009075D7"/>
    <w:rsid w:val="00907764"/>
    <w:rsid w:val="00907CEA"/>
    <w:rsid w:val="00907FD8"/>
    <w:rsid w:val="009109D4"/>
    <w:rsid w:val="00910BC3"/>
    <w:rsid w:val="0091191F"/>
    <w:rsid w:val="00911A88"/>
    <w:rsid w:val="00911B78"/>
    <w:rsid w:val="00911E5D"/>
    <w:rsid w:val="00912FE2"/>
    <w:rsid w:val="009130BC"/>
    <w:rsid w:val="0091387F"/>
    <w:rsid w:val="0091389E"/>
    <w:rsid w:val="00913E56"/>
    <w:rsid w:val="009140CA"/>
    <w:rsid w:val="00914247"/>
    <w:rsid w:val="00914CFE"/>
    <w:rsid w:val="00915429"/>
    <w:rsid w:val="009155ED"/>
    <w:rsid w:val="0091572A"/>
    <w:rsid w:val="00915B34"/>
    <w:rsid w:val="00915D0E"/>
    <w:rsid w:val="00916A57"/>
    <w:rsid w:val="00916BC1"/>
    <w:rsid w:val="0091744D"/>
    <w:rsid w:val="0091778D"/>
    <w:rsid w:val="00917B2F"/>
    <w:rsid w:val="00917E6C"/>
    <w:rsid w:val="00920339"/>
    <w:rsid w:val="00920421"/>
    <w:rsid w:val="009204BD"/>
    <w:rsid w:val="009209F3"/>
    <w:rsid w:val="00920AE9"/>
    <w:rsid w:val="00920C05"/>
    <w:rsid w:val="00920D3C"/>
    <w:rsid w:val="00920EE5"/>
    <w:rsid w:val="00921611"/>
    <w:rsid w:val="009216BA"/>
    <w:rsid w:val="00921F5C"/>
    <w:rsid w:val="0092201B"/>
    <w:rsid w:val="0092242C"/>
    <w:rsid w:val="00922D86"/>
    <w:rsid w:val="00922E8E"/>
    <w:rsid w:val="00923283"/>
    <w:rsid w:val="00923444"/>
    <w:rsid w:val="009238D6"/>
    <w:rsid w:val="00923E22"/>
    <w:rsid w:val="00924248"/>
    <w:rsid w:val="0092448C"/>
    <w:rsid w:val="009246B5"/>
    <w:rsid w:val="0092576C"/>
    <w:rsid w:val="00925CED"/>
    <w:rsid w:val="00925E98"/>
    <w:rsid w:val="00926084"/>
    <w:rsid w:val="0092620B"/>
    <w:rsid w:val="00927BA6"/>
    <w:rsid w:val="00930836"/>
    <w:rsid w:val="00930C5D"/>
    <w:rsid w:val="00931351"/>
    <w:rsid w:val="0093282D"/>
    <w:rsid w:val="00932FF3"/>
    <w:rsid w:val="00933366"/>
    <w:rsid w:val="009333C0"/>
    <w:rsid w:val="00933B24"/>
    <w:rsid w:val="0093447C"/>
    <w:rsid w:val="00934B7A"/>
    <w:rsid w:val="0093510E"/>
    <w:rsid w:val="00935FE4"/>
    <w:rsid w:val="009369C7"/>
    <w:rsid w:val="00936B89"/>
    <w:rsid w:val="00936BBB"/>
    <w:rsid w:val="00936EB8"/>
    <w:rsid w:val="00936EE0"/>
    <w:rsid w:val="00937188"/>
    <w:rsid w:val="009376E3"/>
    <w:rsid w:val="00937829"/>
    <w:rsid w:val="009378CF"/>
    <w:rsid w:val="009400F6"/>
    <w:rsid w:val="00940105"/>
    <w:rsid w:val="00940695"/>
    <w:rsid w:val="00940C20"/>
    <w:rsid w:val="0094161E"/>
    <w:rsid w:val="009419E2"/>
    <w:rsid w:val="00941AD6"/>
    <w:rsid w:val="00941F32"/>
    <w:rsid w:val="009421C7"/>
    <w:rsid w:val="00942DF5"/>
    <w:rsid w:val="00942EDB"/>
    <w:rsid w:val="00943051"/>
    <w:rsid w:val="009433C3"/>
    <w:rsid w:val="00944161"/>
    <w:rsid w:val="009447E7"/>
    <w:rsid w:val="0094505C"/>
    <w:rsid w:val="00945140"/>
    <w:rsid w:val="00945939"/>
    <w:rsid w:val="00945CA5"/>
    <w:rsid w:val="00945CF8"/>
    <w:rsid w:val="00945DC2"/>
    <w:rsid w:val="00945E66"/>
    <w:rsid w:val="009466BD"/>
    <w:rsid w:val="009470C6"/>
    <w:rsid w:val="00947184"/>
    <w:rsid w:val="0094723A"/>
    <w:rsid w:val="00947A34"/>
    <w:rsid w:val="00947B4F"/>
    <w:rsid w:val="00947B97"/>
    <w:rsid w:val="00947F14"/>
    <w:rsid w:val="0095041D"/>
    <w:rsid w:val="009505D7"/>
    <w:rsid w:val="00950655"/>
    <w:rsid w:val="00950DCC"/>
    <w:rsid w:val="0095142A"/>
    <w:rsid w:val="0095242C"/>
    <w:rsid w:val="00952481"/>
    <w:rsid w:val="00952B7A"/>
    <w:rsid w:val="00953A9D"/>
    <w:rsid w:val="0095440C"/>
    <w:rsid w:val="0095474C"/>
    <w:rsid w:val="00955507"/>
    <w:rsid w:val="0095595C"/>
    <w:rsid w:val="00955D0C"/>
    <w:rsid w:val="00955E65"/>
    <w:rsid w:val="00956045"/>
    <w:rsid w:val="009566CD"/>
    <w:rsid w:val="00956801"/>
    <w:rsid w:val="00960D1F"/>
    <w:rsid w:val="009616DD"/>
    <w:rsid w:val="0096195F"/>
    <w:rsid w:val="00961AEB"/>
    <w:rsid w:val="00961F18"/>
    <w:rsid w:val="009624EE"/>
    <w:rsid w:val="0096259A"/>
    <w:rsid w:val="00962EE2"/>
    <w:rsid w:val="0096314D"/>
    <w:rsid w:val="009631DE"/>
    <w:rsid w:val="00963B44"/>
    <w:rsid w:val="00964B27"/>
    <w:rsid w:val="00964DC6"/>
    <w:rsid w:val="0096512E"/>
    <w:rsid w:val="009657E4"/>
    <w:rsid w:val="0096591F"/>
    <w:rsid w:val="00965B7D"/>
    <w:rsid w:val="00965D47"/>
    <w:rsid w:val="00967132"/>
    <w:rsid w:val="00967150"/>
    <w:rsid w:val="0096736A"/>
    <w:rsid w:val="00967552"/>
    <w:rsid w:val="00967CDB"/>
    <w:rsid w:val="00970A40"/>
    <w:rsid w:val="00971089"/>
    <w:rsid w:val="00971105"/>
    <w:rsid w:val="00971460"/>
    <w:rsid w:val="00971979"/>
    <w:rsid w:val="00972366"/>
    <w:rsid w:val="00972DB3"/>
    <w:rsid w:val="009738C4"/>
    <w:rsid w:val="00973AEE"/>
    <w:rsid w:val="00973C0B"/>
    <w:rsid w:val="00974A8E"/>
    <w:rsid w:val="009754E3"/>
    <w:rsid w:val="00975855"/>
    <w:rsid w:val="00975983"/>
    <w:rsid w:val="00975C37"/>
    <w:rsid w:val="00975DC2"/>
    <w:rsid w:val="00976253"/>
    <w:rsid w:val="009764F5"/>
    <w:rsid w:val="00976547"/>
    <w:rsid w:val="0097654D"/>
    <w:rsid w:val="009768C3"/>
    <w:rsid w:val="00976EE3"/>
    <w:rsid w:val="009775BD"/>
    <w:rsid w:val="00977899"/>
    <w:rsid w:val="00977BB9"/>
    <w:rsid w:val="009800E2"/>
    <w:rsid w:val="00980448"/>
    <w:rsid w:val="00980BC7"/>
    <w:rsid w:val="00981801"/>
    <w:rsid w:val="00981A15"/>
    <w:rsid w:val="009821FE"/>
    <w:rsid w:val="00982634"/>
    <w:rsid w:val="0098464C"/>
    <w:rsid w:val="009851B2"/>
    <w:rsid w:val="00985633"/>
    <w:rsid w:val="009857B2"/>
    <w:rsid w:val="00985DFA"/>
    <w:rsid w:val="009866BC"/>
    <w:rsid w:val="00986D34"/>
    <w:rsid w:val="009873ED"/>
    <w:rsid w:val="00987892"/>
    <w:rsid w:val="009900C2"/>
    <w:rsid w:val="00990391"/>
    <w:rsid w:val="00990F4B"/>
    <w:rsid w:val="00992082"/>
    <w:rsid w:val="00992460"/>
    <w:rsid w:val="009926AB"/>
    <w:rsid w:val="00992C41"/>
    <w:rsid w:val="00993182"/>
    <w:rsid w:val="0099335C"/>
    <w:rsid w:val="009939DB"/>
    <w:rsid w:val="00993D44"/>
    <w:rsid w:val="00994164"/>
    <w:rsid w:val="0099431C"/>
    <w:rsid w:val="009944B8"/>
    <w:rsid w:val="0099475E"/>
    <w:rsid w:val="00994CEE"/>
    <w:rsid w:val="00995121"/>
    <w:rsid w:val="00995AD5"/>
    <w:rsid w:val="00995FBA"/>
    <w:rsid w:val="0099626D"/>
    <w:rsid w:val="00996523"/>
    <w:rsid w:val="00996548"/>
    <w:rsid w:val="009972CA"/>
    <w:rsid w:val="009973D5"/>
    <w:rsid w:val="00997657"/>
    <w:rsid w:val="00997700"/>
    <w:rsid w:val="00997910"/>
    <w:rsid w:val="00997D75"/>
    <w:rsid w:val="00997EBE"/>
    <w:rsid w:val="009A0AC8"/>
    <w:rsid w:val="009A0CB3"/>
    <w:rsid w:val="009A114A"/>
    <w:rsid w:val="009A24B1"/>
    <w:rsid w:val="009A2671"/>
    <w:rsid w:val="009A2E9B"/>
    <w:rsid w:val="009A35A6"/>
    <w:rsid w:val="009A3F62"/>
    <w:rsid w:val="009A4034"/>
    <w:rsid w:val="009A4224"/>
    <w:rsid w:val="009A44FA"/>
    <w:rsid w:val="009A490B"/>
    <w:rsid w:val="009A6123"/>
    <w:rsid w:val="009A7E71"/>
    <w:rsid w:val="009B029C"/>
    <w:rsid w:val="009B080A"/>
    <w:rsid w:val="009B0870"/>
    <w:rsid w:val="009B099A"/>
    <w:rsid w:val="009B0C5E"/>
    <w:rsid w:val="009B10DC"/>
    <w:rsid w:val="009B1124"/>
    <w:rsid w:val="009B13E0"/>
    <w:rsid w:val="009B15EA"/>
    <w:rsid w:val="009B1BBC"/>
    <w:rsid w:val="009B2157"/>
    <w:rsid w:val="009B294E"/>
    <w:rsid w:val="009B2C62"/>
    <w:rsid w:val="009B2DCA"/>
    <w:rsid w:val="009B2ED3"/>
    <w:rsid w:val="009B335B"/>
    <w:rsid w:val="009B3D68"/>
    <w:rsid w:val="009B426F"/>
    <w:rsid w:val="009B4899"/>
    <w:rsid w:val="009B493F"/>
    <w:rsid w:val="009B519D"/>
    <w:rsid w:val="009B547C"/>
    <w:rsid w:val="009B5C51"/>
    <w:rsid w:val="009B5CC4"/>
    <w:rsid w:val="009B6816"/>
    <w:rsid w:val="009B7173"/>
    <w:rsid w:val="009B7331"/>
    <w:rsid w:val="009B75FC"/>
    <w:rsid w:val="009B7D25"/>
    <w:rsid w:val="009B7D88"/>
    <w:rsid w:val="009B7ED9"/>
    <w:rsid w:val="009B7EE4"/>
    <w:rsid w:val="009C045A"/>
    <w:rsid w:val="009C0AA2"/>
    <w:rsid w:val="009C0BC7"/>
    <w:rsid w:val="009C1596"/>
    <w:rsid w:val="009C1BA2"/>
    <w:rsid w:val="009C1E28"/>
    <w:rsid w:val="009C1E32"/>
    <w:rsid w:val="009C2023"/>
    <w:rsid w:val="009C2704"/>
    <w:rsid w:val="009C2C98"/>
    <w:rsid w:val="009C307A"/>
    <w:rsid w:val="009C33F2"/>
    <w:rsid w:val="009C363C"/>
    <w:rsid w:val="009C3CFB"/>
    <w:rsid w:val="009C4057"/>
    <w:rsid w:val="009C4300"/>
    <w:rsid w:val="009C496C"/>
    <w:rsid w:val="009C4A08"/>
    <w:rsid w:val="009C4D4F"/>
    <w:rsid w:val="009C4FD6"/>
    <w:rsid w:val="009C5B45"/>
    <w:rsid w:val="009C64E8"/>
    <w:rsid w:val="009C670F"/>
    <w:rsid w:val="009C6967"/>
    <w:rsid w:val="009C6BE3"/>
    <w:rsid w:val="009C7206"/>
    <w:rsid w:val="009C74EA"/>
    <w:rsid w:val="009C75A7"/>
    <w:rsid w:val="009C7774"/>
    <w:rsid w:val="009C7E1A"/>
    <w:rsid w:val="009D0790"/>
    <w:rsid w:val="009D09A8"/>
    <w:rsid w:val="009D0D2E"/>
    <w:rsid w:val="009D0EE3"/>
    <w:rsid w:val="009D1103"/>
    <w:rsid w:val="009D12F9"/>
    <w:rsid w:val="009D18B9"/>
    <w:rsid w:val="009D25B1"/>
    <w:rsid w:val="009D2A3B"/>
    <w:rsid w:val="009D3449"/>
    <w:rsid w:val="009D364D"/>
    <w:rsid w:val="009D3813"/>
    <w:rsid w:val="009D38D3"/>
    <w:rsid w:val="009D39E5"/>
    <w:rsid w:val="009D3ADF"/>
    <w:rsid w:val="009D40AB"/>
    <w:rsid w:val="009D4A46"/>
    <w:rsid w:val="009D4B77"/>
    <w:rsid w:val="009D4EA1"/>
    <w:rsid w:val="009D5F41"/>
    <w:rsid w:val="009D6543"/>
    <w:rsid w:val="009D667B"/>
    <w:rsid w:val="009D6F6E"/>
    <w:rsid w:val="009E01B7"/>
    <w:rsid w:val="009E0F9F"/>
    <w:rsid w:val="009E1BD3"/>
    <w:rsid w:val="009E241B"/>
    <w:rsid w:val="009E2644"/>
    <w:rsid w:val="009E2C40"/>
    <w:rsid w:val="009E304A"/>
    <w:rsid w:val="009E31C4"/>
    <w:rsid w:val="009E3ACF"/>
    <w:rsid w:val="009E3F71"/>
    <w:rsid w:val="009E4468"/>
    <w:rsid w:val="009E44CA"/>
    <w:rsid w:val="009E4981"/>
    <w:rsid w:val="009E552D"/>
    <w:rsid w:val="009E58D6"/>
    <w:rsid w:val="009E61BC"/>
    <w:rsid w:val="009E620A"/>
    <w:rsid w:val="009E6642"/>
    <w:rsid w:val="009E6763"/>
    <w:rsid w:val="009E71BB"/>
    <w:rsid w:val="009E79B4"/>
    <w:rsid w:val="009E7A17"/>
    <w:rsid w:val="009F0419"/>
    <w:rsid w:val="009F051A"/>
    <w:rsid w:val="009F0947"/>
    <w:rsid w:val="009F0B77"/>
    <w:rsid w:val="009F19EF"/>
    <w:rsid w:val="009F1F22"/>
    <w:rsid w:val="009F2845"/>
    <w:rsid w:val="009F37E0"/>
    <w:rsid w:val="009F3818"/>
    <w:rsid w:val="009F38D6"/>
    <w:rsid w:val="009F3B71"/>
    <w:rsid w:val="009F3C97"/>
    <w:rsid w:val="009F3DF2"/>
    <w:rsid w:val="009F44E6"/>
    <w:rsid w:val="009F472B"/>
    <w:rsid w:val="009F56F4"/>
    <w:rsid w:val="009F632E"/>
    <w:rsid w:val="009F6A57"/>
    <w:rsid w:val="009F6F73"/>
    <w:rsid w:val="009F76AB"/>
    <w:rsid w:val="009F797F"/>
    <w:rsid w:val="009F79F6"/>
    <w:rsid w:val="009F7B6F"/>
    <w:rsid w:val="00A00290"/>
    <w:rsid w:val="00A00F9F"/>
    <w:rsid w:val="00A018BA"/>
    <w:rsid w:val="00A01EA3"/>
    <w:rsid w:val="00A02B54"/>
    <w:rsid w:val="00A02F0A"/>
    <w:rsid w:val="00A03DB4"/>
    <w:rsid w:val="00A03F8A"/>
    <w:rsid w:val="00A04A8D"/>
    <w:rsid w:val="00A052B0"/>
    <w:rsid w:val="00A05AF1"/>
    <w:rsid w:val="00A05EED"/>
    <w:rsid w:val="00A063C4"/>
    <w:rsid w:val="00A06728"/>
    <w:rsid w:val="00A06F02"/>
    <w:rsid w:val="00A072EC"/>
    <w:rsid w:val="00A07C6D"/>
    <w:rsid w:val="00A10FE9"/>
    <w:rsid w:val="00A11022"/>
    <w:rsid w:val="00A1143A"/>
    <w:rsid w:val="00A12133"/>
    <w:rsid w:val="00A12C73"/>
    <w:rsid w:val="00A12D6D"/>
    <w:rsid w:val="00A1329E"/>
    <w:rsid w:val="00A132DE"/>
    <w:rsid w:val="00A137F7"/>
    <w:rsid w:val="00A13854"/>
    <w:rsid w:val="00A13E4F"/>
    <w:rsid w:val="00A14044"/>
    <w:rsid w:val="00A14168"/>
    <w:rsid w:val="00A1445A"/>
    <w:rsid w:val="00A14785"/>
    <w:rsid w:val="00A147D2"/>
    <w:rsid w:val="00A14BD4"/>
    <w:rsid w:val="00A15931"/>
    <w:rsid w:val="00A1593C"/>
    <w:rsid w:val="00A159DB"/>
    <w:rsid w:val="00A15B37"/>
    <w:rsid w:val="00A15C6F"/>
    <w:rsid w:val="00A15C87"/>
    <w:rsid w:val="00A15D04"/>
    <w:rsid w:val="00A16190"/>
    <w:rsid w:val="00A17B2C"/>
    <w:rsid w:val="00A17BA4"/>
    <w:rsid w:val="00A17FFE"/>
    <w:rsid w:val="00A20379"/>
    <w:rsid w:val="00A210FA"/>
    <w:rsid w:val="00A2111D"/>
    <w:rsid w:val="00A21280"/>
    <w:rsid w:val="00A2183A"/>
    <w:rsid w:val="00A21EEB"/>
    <w:rsid w:val="00A221C5"/>
    <w:rsid w:val="00A22DE2"/>
    <w:rsid w:val="00A23328"/>
    <w:rsid w:val="00A2360E"/>
    <w:rsid w:val="00A23908"/>
    <w:rsid w:val="00A2397E"/>
    <w:rsid w:val="00A239F6"/>
    <w:rsid w:val="00A23F73"/>
    <w:rsid w:val="00A2413E"/>
    <w:rsid w:val="00A241A2"/>
    <w:rsid w:val="00A24231"/>
    <w:rsid w:val="00A2488E"/>
    <w:rsid w:val="00A24996"/>
    <w:rsid w:val="00A25755"/>
    <w:rsid w:val="00A2579C"/>
    <w:rsid w:val="00A25A9B"/>
    <w:rsid w:val="00A25ECB"/>
    <w:rsid w:val="00A26363"/>
    <w:rsid w:val="00A2673B"/>
    <w:rsid w:val="00A269D0"/>
    <w:rsid w:val="00A26C33"/>
    <w:rsid w:val="00A26D56"/>
    <w:rsid w:val="00A27347"/>
    <w:rsid w:val="00A2743E"/>
    <w:rsid w:val="00A274C7"/>
    <w:rsid w:val="00A27D12"/>
    <w:rsid w:val="00A27D43"/>
    <w:rsid w:val="00A27E77"/>
    <w:rsid w:val="00A3054D"/>
    <w:rsid w:val="00A3067E"/>
    <w:rsid w:val="00A30B2D"/>
    <w:rsid w:val="00A31108"/>
    <w:rsid w:val="00A31203"/>
    <w:rsid w:val="00A315D7"/>
    <w:rsid w:val="00A3194F"/>
    <w:rsid w:val="00A32F1E"/>
    <w:rsid w:val="00A33208"/>
    <w:rsid w:val="00A33483"/>
    <w:rsid w:val="00A33F29"/>
    <w:rsid w:val="00A34129"/>
    <w:rsid w:val="00A343C4"/>
    <w:rsid w:val="00A350F9"/>
    <w:rsid w:val="00A35706"/>
    <w:rsid w:val="00A3582B"/>
    <w:rsid w:val="00A35E8D"/>
    <w:rsid w:val="00A36408"/>
    <w:rsid w:val="00A36474"/>
    <w:rsid w:val="00A36604"/>
    <w:rsid w:val="00A36907"/>
    <w:rsid w:val="00A4005F"/>
    <w:rsid w:val="00A405A6"/>
    <w:rsid w:val="00A40616"/>
    <w:rsid w:val="00A406CB"/>
    <w:rsid w:val="00A407D1"/>
    <w:rsid w:val="00A40D27"/>
    <w:rsid w:val="00A40E37"/>
    <w:rsid w:val="00A414A0"/>
    <w:rsid w:val="00A416FA"/>
    <w:rsid w:val="00A41B13"/>
    <w:rsid w:val="00A425A3"/>
    <w:rsid w:val="00A42A30"/>
    <w:rsid w:val="00A42C33"/>
    <w:rsid w:val="00A437E0"/>
    <w:rsid w:val="00A43BE7"/>
    <w:rsid w:val="00A4457F"/>
    <w:rsid w:val="00A4619E"/>
    <w:rsid w:val="00A467F7"/>
    <w:rsid w:val="00A46D36"/>
    <w:rsid w:val="00A46D49"/>
    <w:rsid w:val="00A46EE8"/>
    <w:rsid w:val="00A47349"/>
    <w:rsid w:val="00A50672"/>
    <w:rsid w:val="00A51DA1"/>
    <w:rsid w:val="00A51F08"/>
    <w:rsid w:val="00A52037"/>
    <w:rsid w:val="00A52FCF"/>
    <w:rsid w:val="00A532B6"/>
    <w:rsid w:val="00A532F7"/>
    <w:rsid w:val="00A537A3"/>
    <w:rsid w:val="00A540B4"/>
    <w:rsid w:val="00A5457B"/>
    <w:rsid w:val="00A55273"/>
    <w:rsid w:val="00A55577"/>
    <w:rsid w:val="00A555A4"/>
    <w:rsid w:val="00A55DD1"/>
    <w:rsid w:val="00A5628F"/>
    <w:rsid w:val="00A566D7"/>
    <w:rsid w:val="00A56C30"/>
    <w:rsid w:val="00A57148"/>
    <w:rsid w:val="00A573BA"/>
    <w:rsid w:val="00A606A2"/>
    <w:rsid w:val="00A6092F"/>
    <w:rsid w:val="00A60B5B"/>
    <w:rsid w:val="00A60C47"/>
    <w:rsid w:val="00A6147B"/>
    <w:rsid w:val="00A61BCB"/>
    <w:rsid w:val="00A61C92"/>
    <w:rsid w:val="00A61D3F"/>
    <w:rsid w:val="00A61DFF"/>
    <w:rsid w:val="00A621C5"/>
    <w:rsid w:val="00A6236C"/>
    <w:rsid w:val="00A62A06"/>
    <w:rsid w:val="00A62D29"/>
    <w:rsid w:val="00A631A4"/>
    <w:rsid w:val="00A63F5C"/>
    <w:rsid w:val="00A6416C"/>
    <w:rsid w:val="00A654D5"/>
    <w:rsid w:val="00A66B57"/>
    <w:rsid w:val="00A67904"/>
    <w:rsid w:val="00A7025E"/>
    <w:rsid w:val="00A70708"/>
    <w:rsid w:val="00A71D96"/>
    <w:rsid w:val="00A72155"/>
    <w:rsid w:val="00A72194"/>
    <w:rsid w:val="00A72445"/>
    <w:rsid w:val="00A7276D"/>
    <w:rsid w:val="00A73E43"/>
    <w:rsid w:val="00A73EBC"/>
    <w:rsid w:val="00A73F97"/>
    <w:rsid w:val="00A74020"/>
    <w:rsid w:val="00A740A7"/>
    <w:rsid w:val="00A742A7"/>
    <w:rsid w:val="00A74587"/>
    <w:rsid w:val="00A745EF"/>
    <w:rsid w:val="00A74F40"/>
    <w:rsid w:val="00A761A6"/>
    <w:rsid w:val="00A76382"/>
    <w:rsid w:val="00A76D1F"/>
    <w:rsid w:val="00A76F86"/>
    <w:rsid w:val="00A77C27"/>
    <w:rsid w:val="00A77CCC"/>
    <w:rsid w:val="00A8049B"/>
    <w:rsid w:val="00A83201"/>
    <w:rsid w:val="00A83847"/>
    <w:rsid w:val="00A83A03"/>
    <w:rsid w:val="00A849D7"/>
    <w:rsid w:val="00A84EB1"/>
    <w:rsid w:val="00A84F07"/>
    <w:rsid w:val="00A85477"/>
    <w:rsid w:val="00A857A9"/>
    <w:rsid w:val="00A85A77"/>
    <w:rsid w:val="00A85CC4"/>
    <w:rsid w:val="00A85E5F"/>
    <w:rsid w:val="00A860AD"/>
    <w:rsid w:val="00A862CC"/>
    <w:rsid w:val="00A8632C"/>
    <w:rsid w:val="00A8635B"/>
    <w:rsid w:val="00A86703"/>
    <w:rsid w:val="00A8690C"/>
    <w:rsid w:val="00A86D3D"/>
    <w:rsid w:val="00A86F78"/>
    <w:rsid w:val="00A8728F"/>
    <w:rsid w:val="00A9106C"/>
    <w:rsid w:val="00A91288"/>
    <w:rsid w:val="00A913CC"/>
    <w:rsid w:val="00A92458"/>
    <w:rsid w:val="00A92461"/>
    <w:rsid w:val="00A92635"/>
    <w:rsid w:val="00A92B39"/>
    <w:rsid w:val="00A93061"/>
    <w:rsid w:val="00A938E4"/>
    <w:rsid w:val="00A93AF1"/>
    <w:rsid w:val="00A93B53"/>
    <w:rsid w:val="00A93FDD"/>
    <w:rsid w:val="00A94240"/>
    <w:rsid w:val="00A94439"/>
    <w:rsid w:val="00A94D1B"/>
    <w:rsid w:val="00A9572A"/>
    <w:rsid w:val="00A95FF9"/>
    <w:rsid w:val="00A971DB"/>
    <w:rsid w:val="00A975A6"/>
    <w:rsid w:val="00A97D99"/>
    <w:rsid w:val="00AA003F"/>
    <w:rsid w:val="00AA1162"/>
    <w:rsid w:val="00AA13FE"/>
    <w:rsid w:val="00AA19F6"/>
    <w:rsid w:val="00AA1CD9"/>
    <w:rsid w:val="00AA2068"/>
    <w:rsid w:val="00AA2091"/>
    <w:rsid w:val="00AA25F6"/>
    <w:rsid w:val="00AA30FD"/>
    <w:rsid w:val="00AA3399"/>
    <w:rsid w:val="00AA35B9"/>
    <w:rsid w:val="00AA4226"/>
    <w:rsid w:val="00AA446B"/>
    <w:rsid w:val="00AA5FBD"/>
    <w:rsid w:val="00AA64B9"/>
    <w:rsid w:val="00AB0353"/>
    <w:rsid w:val="00AB0B5F"/>
    <w:rsid w:val="00AB0C5A"/>
    <w:rsid w:val="00AB159B"/>
    <w:rsid w:val="00AB1B0D"/>
    <w:rsid w:val="00AB1C57"/>
    <w:rsid w:val="00AB1EE3"/>
    <w:rsid w:val="00AB1F8A"/>
    <w:rsid w:val="00AB2A60"/>
    <w:rsid w:val="00AB2A6B"/>
    <w:rsid w:val="00AB3AFB"/>
    <w:rsid w:val="00AB3B61"/>
    <w:rsid w:val="00AB41D5"/>
    <w:rsid w:val="00AB427C"/>
    <w:rsid w:val="00AB46B1"/>
    <w:rsid w:val="00AB48B4"/>
    <w:rsid w:val="00AB4BBF"/>
    <w:rsid w:val="00AB4E4A"/>
    <w:rsid w:val="00AB5641"/>
    <w:rsid w:val="00AB579A"/>
    <w:rsid w:val="00AB6083"/>
    <w:rsid w:val="00AB6257"/>
    <w:rsid w:val="00AB65EF"/>
    <w:rsid w:val="00AB6962"/>
    <w:rsid w:val="00AB73BD"/>
    <w:rsid w:val="00AB74EB"/>
    <w:rsid w:val="00AB7FEB"/>
    <w:rsid w:val="00AC06BE"/>
    <w:rsid w:val="00AC0A8C"/>
    <w:rsid w:val="00AC1BCB"/>
    <w:rsid w:val="00AC1EF2"/>
    <w:rsid w:val="00AC22D3"/>
    <w:rsid w:val="00AC34BB"/>
    <w:rsid w:val="00AC439B"/>
    <w:rsid w:val="00AC45AB"/>
    <w:rsid w:val="00AC4610"/>
    <w:rsid w:val="00AC4B43"/>
    <w:rsid w:val="00AC4C96"/>
    <w:rsid w:val="00AC4DFE"/>
    <w:rsid w:val="00AC52A7"/>
    <w:rsid w:val="00AC548F"/>
    <w:rsid w:val="00AC5BE4"/>
    <w:rsid w:val="00AC61CF"/>
    <w:rsid w:val="00AC6276"/>
    <w:rsid w:val="00AC6583"/>
    <w:rsid w:val="00AC660C"/>
    <w:rsid w:val="00AC6CE4"/>
    <w:rsid w:val="00AC7212"/>
    <w:rsid w:val="00AC73C2"/>
    <w:rsid w:val="00AC7528"/>
    <w:rsid w:val="00AC765F"/>
    <w:rsid w:val="00AC77CA"/>
    <w:rsid w:val="00AC780C"/>
    <w:rsid w:val="00AC7A1C"/>
    <w:rsid w:val="00AD0822"/>
    <w:rsid w:val="00AD08DC"/>
    <w:rsid w:val="00AD0F38"/>
    <w:rsid w:val="00AD15E1"/>
    <w:rsid w:val="00AD1EA0"/>
    <w:rsid w:val="00AD2645"/>
    <w:rsid w:val="00AD280C"/>
    <w:rsid w:val="00AD2FEA"/>
    <w:rsid w:val="00AD340E"/>
    <w:rsid w:val="00AD375D"/>
    <w:rsid w:val="00AD48BD"/>
    <w:rsid w:val="00AD55BF"/>
    <w:rsid w:val="00AD5842"/>
    <w:rsid w:val="00AD589E"/>
    <w:rsid w:val="00AE012A"/>
    <w:rsid w:val="00AE0373"/>
    <w:rsid w:val="00AE118A"/>
    <w:rsid w:val="00AE173B"/>
    <w:rsid w:val="00AE1EE2"/>
    <w:rsid w:val="00AE21C7"/>
    <w:rsid w:val="00AE24CD"/>
    <w:rsid w:val="00AE281B"/>
    <w:rsid w:val="00AE300D"/>
    <w:rsid w:val="00AE303B"/>
    <w:rsid w:val="00AE3912"/>
    <w:rsid w:val="00AE5237"/>
    <w:rsid w:val="00AE5726"/>
    <w:rsid w:val="00AE5A9F"/>
    <w:rsid w:val="00AE628D"/>
    <w:rsid w:val="00AE663A"/>
    <w:rsid w:val="00AE6BB1"/>
    <w:rsid w:val="00AE6EE1"/>
    <w:rsid w:val="00AE6F3A"/>
    <w:rsid w:val="00AE7115"/>
    <w:rsid w:val="00AE75AA"/>
    <w:rsid w:val="00AE7A5A"/>
    <w:rsid w:val="00AE7D5A"/>
    <w:rsid w:val="00AF0167"/>
    <w:rsid w:val="00AF01F6"/>
    <w:rsid w:val="00AF0992"/>
    <w:rsid w:val="00AF0E86"/>
    <w:rsid w:val="00AF1018"/>
    <w:rsid w:val="00AF13EC"/>
    <w:rsid w:val="00AF1FE6"/>
    <w:rsid w:val="00AF1FF2"/>
    <w:rsid w:val="00AF2152"/>
    <w:rsid w:val="00AF233B"/>
    <w:rsid w:val="00AF2351"/>
    <w:rsid w:val="00AF2AE3"/>
    <w:rsid w:val="00AF30A6"/>
    <w:rsid w:val="00AF3864"/>
    <w:rsid w:val="00AF40AC"/>
    <w:rsid w:val="00AF4609"/>
    <w:rsid w:val="00AF5060"/>
    <w:rsid w:val="00AF57A2"/>
    <w:rsid w:val="00AF6509"/>
    <w:rsid w:val="00AF671F"/>
    <w:rsid w:val="00AF7A35"/>
    <w:rsid w:val="00B00017"/>
    <w:rsid w:val="00B00282"/>
    <w:rsid w:val="00B00503"/>
    <w:rsid w:val="00B013FF"/>
    <w:rsid w:val="00B01506"/>
    <w:rsid w:val="00B01A5B"/>
    <w:rsid w:val="00B01C8D"/>
    <w:rsid w:val="00B020E6"/>
    <w:rsid w:val="00B02404"/>
    <w:rsid w:val="00B02695"/>
    <w:rsid w:val="00B03588"/>
    <w:rsid w:val="00B03A8A"/>
    <w:rsid w:val="00B03C75"/>
    <w:rsid w:val="00B04220"/>
    <w:rsid w:val="00B046A3"/>
    <w:rsid w:val="00B04897"/>
    <w:rsid w:val="00B05541"/>
    <w:rsid w:val="00B0568B"/>
    <w:rsid w:val="00B05929"/>
    <w:rsid w:val="00B059E4"/>
    <w:rsid w:val="00B05D9F"/>
    <w:rsid w:val="00B0607E"/>
    <w:rsid w:val="00B06402"/>
    <w:rsid w:val="00B06419"/>
    <w:rsid w:val="00B079A1"/>
    <w:rsid w:val="00B07DBB"/>
    <w:rsid w:val="00B10003"/>
    <w:rsid w:val="00B100A1"/>
    <w:rsid w:val="00B10A7D"/>
    <w:rsid w:val="00B10F95"/>
    <w:rsid w:val="00B11304"/>
    <w:rsid w:val="00B115EF"/>
    <w:rsid w:val="00B12817"/>
    <w:rsid w:val="00B12D27"/>
    <w:rsid w:val="00B1380B"/>
    <w:rsid w:val="00B138A1"/>
    <w:rsid w:val="00B149BE"/>
    <w:rsid w:val="00B14D8F"/>
    <w:rsid w:val="00B15316"/>
    <w:rsid w:val="00B15352"/>
    <w:rsid w:val="00B16117"/>
    <w:rsid w:val="00B1666D"/>
    <w:rsid w:val="00B16971"/>
    <w:rsid w:val="00B169FC"/>
    <w:rsid w:val="00B170EE"/>
    <w:rsid w:val="00B1726B"/>
    <w:rsid w:val="00B175F0"/>
    <w:rsid w:val="00B178E5"/>
    <w:rsid w:val="00B17AEC"/>
    <w:rsid w:val="00B17B49"/>
    <w:rsid w:val="00B17FA7"/>
    <w:rsid w:val="00B20F6C"/>
    <w:rsid w:val="00B215B1"/>
    <w:rsid w:val="00B21D0B"/>
    <w:rsid w:val="00B222BA"/>
    <w:rsid w:val="00B223D7"/>
    <w:rsid w:val="00B2298A"/>
    <w:rsid w:val="00B22D7A"/>
    <w:rsid w:val="00B2302D"/>
    <w:rsid w:val="00B2343B"/>
    <w:rsid w:val="00B23642"/>
    <w:rsid w:val="00B2388B"/>
    <w:rsid w:val="00B23AE7"/>
    <w:rsid w:val="00B24504"/>
    <w:rsid w:val="00B248A8"/>
    <w:rsid w:val="00B249AF"/>
    <w:rsid w:val="00B25105"/>
    <w:rsid w:val="00B2554A"/>
    <w:rsid w:val="00B25633"/>
    <w:rsid w:val="00B25718"/>
    <w:rsid w:val="00B25E16"/>
    <w:rsid w:val="00B2614C"/>
    <w:rsid w:val="00B26399"/>
    <w:rsid w:val="00B26CF4"/>
    <w:rsid w:val="00B26F1B"/>
    <w:rsid w:val="00B26F51"/>
    <w:rsid w:val="00B27448"/>
    <w:rsid w:val="00B27F21"/>
    <w:rsid w:val="00B30DD7"/>
    <w:rsid w:val="00B31E76"/>
    <w:rsid w:val="00B32218"/>
    <w:rsid w:val="00B324AF"/>
    <w:rsid w:val="00B3289A"/>
    <w:rsid w:val="00B33495"/>
    <w:rsid w:val="00B33910"/>
    <w:rsid w:val="00B345DB"/>
    <w:rsid w:val="00B3519D"/>
    <w:rsid w:val="00B356B1"/>
    <w:rsid w:val="00B35AAD"/>
    <w:rsid w:val="00B35B62"/>
    <w:rsid w:val="00B36371"/>
    <w:rsid w:val="00B36500"/>
    <w:rsid w:val="00B3670C"/>
    <w:rsid w:val="00B368D9"/>
    <w:rsid w:val="00B36904"/>
    <w:rsid w:val="00B3696B"/>
    <w:rsid w:val="00B36D34"/>
    <w:rsid w:val="00B37064"/>
    <w:rsid w:val="00B371AA"/>
    <w:rsid w:val="00B37B39"/>
    <w:rsid w:val="00B37F9B"/>
    <w:rsid w:val="00B40203"/>
    <w:rsid w:val="00B40526"/>
    <w:rsid w:val="00B40CB0"/>
    <w:rsid w:val="00B40E24"/>
    <w:rsid w:val="00B41A06"/>
    <w:rsid w:val="00B41A0D"/>
    <w:rsid w:val="00B41A82"/>
    <w:rsid w:val="00B41CE6"/>
    <w:rsid w:val="00B434C7"/>
    <w:rsid w:val="00B434D1"/>
    <w:rsid w:val="00B43772"/>
    <w:rsid w:val="00B43835"/>
    <w:rsid w:val="00B43865"/>
    <w:rsid w:val="00B4463B"/>
    <w:rsid w:val="00B45314"/>
    <w:rsid w:val="00B461B4"/>
    <w:rsid w:val="00B466B7"/>
    <w:rsid w:val="00B468AE"/>
    <w:rsid w:val="00B503CC"/>
    <w:rsid w:val="00B5059B"/>
    <w:rsid w:val="00B50AA8"/>
    <w:rsid w:val="00B50D07"/>
    <w:rsid w:val="00B5145D"/>
    <w:rsid w:val="00B51BE9"/>
    <w:rsid w:val="00B51C94"/>
    <w:rsid w:val="00B51CF9"/>
    <w:rsid w:val="00B52631"/>
    <w:rsid w:val="00B52646"/>
    <w:rsid w:val="00B52A42"/>
    <w:rsid w:val="00B52E15"/>
    <w:rsid w:val="00B53D2C"/>
    <w:rsid w:val="00B5425F"/>
    <w:rsid w:val="00B56E8F"/>
    <w:rsid w:val="00B57132"/>
    <w:rsid w:val="00B5751B"/>
    <w:rsid w:val="00B5755C"/>
    <w:rsid w:val="00B577D0"/>
    <w:rsid w:val="00B60673"/>
    <w:rsid w:val="00B612F2"/>
    <w:rsid w:val="00B6189E"/>
    <w:rsid w:val="00B619D8"/>
    <w:rsid w:val="00B625E3"/>
    <w:rsid w:val="00B629A5"/>
    <w:rsid w:val="00B62D62"/>
    <w:rsid w:val="00B62DC9"/>
    <w:rsid w:val="00B62F2A"/>
    <w:rsid w:val="00B6360C"/>
    <w:rsid w:val="00B63723"/>
    <w:rsid w:val="00B6507B"/>
    <w:rsid w:val="00B650AE"/>
    <w:rsid w:val="00B65255"/>
    <w:rsid w:val="00B654E3"/>
    <w:rsid w:val="00B65B79"/>
    <w:rsid w:val="00B65FF1"/>
    <w:rsid w:val="00B661AF"/>
    <w:rsid w:val="00B663E6"/>
    <w:rsid w:val="00B66447"/>
    <w:rsid w:val="00B665E2"/>
    <w:rsid w:val="00B66CC1"/>
    <w:rsid w:val="00B66F01"/>
    <w:rsid w:val="00B6735F"/>
    <w:rsid w:val="00B677C4"/>
    <w:rsid w:val="00B67E72"/>
    <w:rsid w:val="00B7057A"/>
    <w:rsid w:val="00B70652"/>
    <w:rsid w:val="00B70741"/>
    <w:rsid w:val="00B70CE7"/>
    <w:rsid w:val="00B70D76"/>
    <w:rsid w:val="00B70DF5"/>
    <w:rsid w:val="00B71462"/>
    <w:rsid w:val="00B71A48"/>
    <w:rsid w:val="00B71A9E"/>
    <w:rsid w:val="00B71B5E"/>
    <w:rsid w:val="00B7244D"/>
    <w:rsid w:val="00B7278F"/>
    <w:rsid w:val="00B72BFF"/>
    <w:rsid w:val="00B72D91"/>
    <w:rsid w:val="00B72DA3"/>
    <w:rsid w:val="00B72FA2"/>
    <w:rsid w:val="00B73926"/>
    <w:rsid w:val="00B73D29"/>
    <w:rsid w:val="00B7423A"/>
    <w:rsid w:val="00B7449C"/>
    <w:rsid w:val="00B746FD"/>
    <w:rsid w:val="00B74D01"/>
    <w:rsid w:val="00B74DC7"/>
    <w:rsid w:val="00B74FD9"/>
    <w:rsid w:val="00B75209"/>
    <w:rsid w:val="00B75DCA"/>
    <w:rsid w:val="00B75EBF"/>
    <w:rsid w:val="00B762D8"/>
    <w:rsid w:val="00B7643C"/>
    <w:rsid w:val="00B76596"/>
    <w:rsid w:val="00B769FA"/>
    <w:rsid w:val="00B77723"/>
    <w:rsid w:val="00B7791E"/>
    <w:rsid w:val="00B77AEA"/>
    <w:rsid w:val="00B80F69"/>
    <w:rsid w:val="00B81780"/>
    <w:rsid w:val="00B81DE5"/>
    <w:rsid w:val="00B82514"/>
    <w:rsid w:val="00B82F4F"/>
    <w:rsid w:val="00B836D5"/>
    <w:rsid w:val="00B848B6"/>
    <w:rsid w:val="00B85013"/>
    <w:rsid w:val="00B854E7"/>
    <w:rsid w:val="00B855F2"/>
    <w:rsid w:val="00B856F8"/>
    <w:rsid w:val="00B868AD"/>
    <w:rsid w:val="00B8776D"/>
    <w:rsid w:val="00B877D1"/>
    <w:rsid w:val="00B878C7"/>
    <w:rsid w:val="00B87D82"/>
    <w:rsid w:val="00B900CB"/>
    <w:rsid w:val="00B9039D"/>
    <w:rsid w:val="00B905AE"/>
    <w:rsid w:val="00B90B51"/>
    <w:rsid w:val="00B9100D"/>
    <w:rsid w:val="00B917AD"/>
    <w:rsid w:val="00B9195A"/>
    <w:rsid w:val="00B91F42"/>
    <w:rsid w:val="00B920D0"/>
    <w:rsid w:val="00B9217E"/>
    <w:rsid w:val="00B92720"/>
    <w:rsid w:val="00B92865"/>
    <w:rsid w:val="00B92DA3"/>
    <w:rsid w:val="00B934BC"/>
    <w:rsid w:val="00B93851"/>
    <w:rsid w:val="00B939E6"/>
    <w:rsid w:val="00B93E9E"/>
    <w:rsid w:val="00B93FA7"/>
    <w:rsid w:val="00B94453"/>
    <w:rsid w:val="00B945B1"/>
    <w:rsid w:val="00B9479A"/>
    <w:rsid w:val="00B94B62"/>
    <w:rsid w:val="00B94F3B"/>
    <w:rsid w:val="00B95B3B"/>
    <w:rsid w:val="00B9644C"/>
    <w:rsid w:val="00B9653C"/>
    <w:rsid w:val="00B96D2B"/>
    <w:rsid w:val="00B97104"/>
    <w:rsid w:val="00B97164"/>
    <w:rsid w:val="00B9728D"/>
    <w:rsid w:val="00B97375"/>
    <w:rsid w:val="00B97862"/>
    <w:rsid w:val="00BA0638"/>
    <w:rsid w:val="00BA0824"/>
    <w:rsid w:val="00BA0A38"/>
    <w:rsid w:val="00BA0EEE"/>
    <w:rsid w:val="00BA1315"/>
    <w:rsid w:val="00BA1537"/>
    <w:rsid w:val="00BA1620"/>
    <w:rsid w:val="00BA1644"/>
    <w:rsid w:val="00BA251D"/>
    <w:rsid w:val="00BA27E1"/>
    <w:rsid w:val="00BA2D55"/>
    <w:rsid w:val="00BA30DF"/>
    <w:rsid w:val="00BA31FC"/>
    <w:rsid w:val="00BA41B1"/>
    <w:rsid w:val="00BA4655"/>
    <w:rsid w:val="00BA49AD"/>
    <w:rsid w:val="00BA4B8F"/>
    <w:rsid w:val="00BA4DB8"/>
    <w:rsid w:val="00BA5D93"/>
    <w:rsid w:val="00BA5FCB"/>
    <w:rsid w:val="00BA63ED"/>
    <w:rsid w:val="00BA6A5B"/>
    <w:rsid w:val="00BA708B"/>
    <w:rsid w:val="00BA7A13"/>
    <w:rsid w:val="00BA7FDB"/>
    <w:rsid w:val="00BB0C93"/>
    <w:rsid w:val="00BB17C3"/>
    <w:rsid w:val="00BB1BA2"/>
    <w:rsid w:val="00BB286C"/>
    <w:rsid w:val="00BB2A8C"/>
    <w:rsid w:val="00BB2B90"/>
    <w:rsid w:val="00BB2D85"/>
    <w:rsid w:val="00BB30EE"/>
    <w:rsid w:val="00BB31CC"/>
    <w:rsid w:val="00BB332F"/>
    <w:rsid w:val="00BB44F3"/>
    <w:rsid w:val="00BB4792"/>
    <w:rsid w:val="00BB4D63"/>
    <w:rsid w:val="00BB50C0"/>
    <w:rsid w:val="00BB5286"/>
    <w:rsid w:val="00BB52FF"/>
    <w:rsid w:val="00BB5994"/>
    <w:rsid w:val="00BB5D74"/>
    <w:rsid w:val="00BB5E8F"/>
    <w:rsid w:val="00BB5FD4"/>
    <w:rsid w:val="00BB640C"/>
    <w:rsid w:val="00BB6761"/>
    <w:rsid w:val="00BB6A0E"/>
    <w:rsid w:val="00BB6BCD"/>
    <w:rsid w:val="00BB6E96"/>
    <w:rsid w:val="00BC0691"/>
    <w:rsid w:val="00BC0BFD"/>
    <w:rsid w:val="00BC1822"/>
    <w:rsid w:val="00BC2ADB"/>
    <w:rsid w:val="00BC2EE0"/>
    <w:rsid w:val="00BC2EEB"/>
    <w:rsid w:val="00BC3474"/>
    <w:rsid w:val="00BC5477"/>
    <w:rsid w:val="00BC5C90"/>
    <w:rsid w:val="00BC684B"/>
    <w:rsid w:val="00BC68E8"/>
    <w:rsid w:val="00BC7740"/>
    <w:rsid w:val="00BC7A27"/>
    <w:rsid w:val="00BD06C3"/>
    <w:rsid w:val="00BD1005"/>
    <w:rsid w:val="00BD13AD"/>
    <w:rsid w:val="00BD17AA"/>
    <w:rsid w:val="00BD1903"/>
    <w:rsid w:val="00BD1A7A"/>
    <w:rsid w:val="00BD1E0E"/>
    <w:rsid w:val="00BD22F8"/>
    <w:rsid w:val="00BD2518"/>
    <w:rsid w:val="00BD2E79"/>
    <w:rsid w:val="00BD2EB5"/>
    <w:rsid w:val="00BD33BA"/>
    <w:rsid w:val="00BD3866"/>
    <w:rsid w:val="00BD3B79"/>
    <w:rsid w:val="00BD3BA8"/>
    <w:rsid w:val="00BD435A"/>
    <w:rsid w:val="00BD43BB"/>
    <w:rsid w:val="00BD453B"/>
    <w:rsid w:val="00BD4822"/>
    <w:rsid w:val="00BD50E9"/>
    <w:rsid w:val="00BD5C21"/>
    <w:rsid w:val="00BD610C"/>
    <w:rsid w:val="00BD6319"/>
    <w:rsid w:val="00BD6B37"/>
    <w:rsid w:val="00BD6B4F"/>
    <w:rsid w:val="00BD6F3F"/>
    <w:rsid w:val="00BD72A2"/>
    <w:rsid w:val="00BD7669"/>
    <w:rsid w:val="00BD7AE1"/>
    <w:rsid w:val="00BE0172"/>
    <w:rsid w:val="00BE0234"/>
    <w:rsid w:val="00BE05CB"/>
    <w:rsid w:val="00BE0B5E"/>
    <w:rsid w:val="00BE0FF9"/>
    <w:rsid w:val="00BE1080"/>
    <w:rsid w:val="00BE10F4"/>
    <w:rsid w:val="00BE12A4"/>
    <w:rsid w:val="00BE15E4"/>
    <w:rsid w:val="00BE1B41"/>
    <w:rsid w:val="00BE1D7F"/>
    <w:rsid w:val="00BE1D86"/>
    <w:rsid w:val="00BE1D8E"/>
    <w:rsid w:val="00BE23C5"/>
    <w:rsid w:val="00BE291D"/>
    <w:rsid w:val="00BE3B0A"/>
    <w:rsid w:val="00BE3BC2"/>
    <w:rsid w:val="00BE4008"/>
    <w:rsid w:val="00BE4095"/>
    <w:rsid w:val="00BE43FA"/>
    <w:rsid w:val="00BE4953"/>
    <w:rsid w:val="00BE4D7F"/>
    <w:rsid w:val="00BE5245"/>
    <w:rsid w:val="00BE5F91"/>
    <w:rsid w:val="00BE6BA0"/>
    <w:rsid w:val="00BE6C9B"/>
    <w:rsid w:val="00BE6F72"/>
    <w:rsid w:val="00BE77DB"/>
    <w:rsid w:val="00BF10FD"/>
    <w:rsid w:val="00BF190D"/>
    <w:rsid w:val="00BF19EA"/>
    <w:rsid w:val="00BF2AF5"/>
    <w:rsid w:val="00BF31D6"/>
    <w:rsid w:val="00BF327D"/>
    <w:rsid w:val="00BF3577"/>
    <w:rsid w:val="00BF3748"/>
    <w:rsid w:val="00BF3791"/>
    <w:rsid w:val="00BF3C3B"/>
    <w:rsid w:val="00BF3CE9"/>
    <w:rsid w:val="00BF3D4D"/>
    <w:rsid w:val="00BF478F"/>
    <w:rsid w:val="00BF48FB"/>
    <w:rsid w:val="00BF4963"/>
    <w:rsid w:val="00BF49E8"/>
    <w:rsid w:val="00BF4F3F"/>
    <w:rsid w:val="00BF50CE"/>
    <w:rsid w:val="00BF54B0"/>
    <w:rsid w:val="00BF5AA0"/>
    <w:rsid w:val="00BF5B7E"/>
    <w:rsid w:val="00BF5D94"/>
    <w:rsid w:val="00BF6049"/>
    <w:rsid w:val="00BF64B0"/>
    <w:rsid w:val="00BF6965"/>
    <w:rsid w:val="00BF7E28"/>
    <w:rsid w:val="00C000CB"/>
    <w:rsid w:val="00C001C7"/>
    <w:rsid w:val="00C003D1"/>
    <w:rsid w:val="00C00CD5"/>
    <w:rsid w:val="00C0117C"/>
    <w:rsid w:val="00C016EC"/>
    <w:rsid w:val="00C0178C"/>
    <w:rsid w:val="00C01A2E"/>
    <w:rsid w:val="00C01B23"/>
    <w:rsid w:val="00C01B42"/>
    <w:rsid w:val="00C01E91"/>
    <w:rsid w:val="00C02B2C"/>
    <w:rsid w:val="00C02BD0"/>
    <w:rsid w:val="00C0319D"/>
    <w:rsid w:val="00C04222"/>
    <w:rsid w:val="00C05019"/>
    <w:rsid w:val="00C054B4"/>
    <w:rsid w:val="00C05DE4"/>
    <w:rsid w:val="00C05FFF"/>
    <w:rsid w:val="00C06950"/>
    <w:rsid w:val="00C06F98"/>
    <w:rsid w:val="00C0716E"/>
    <w:rsid w:val="00C07439"/>
    <w:rsid w:val="00C077D0"/>
    <w:rsid w:val="00C07A94"/>
    <w:rsid w:val="00C07C58"/>
    <w:rsid w:val="00C10B8E"/>
    <w:rsid w:val="00C119FF"/>
    <w:rsid w:val="00C12762"/>
    <w:rsid w:val="00C13BD1"/>
    <w:rsid w:val="00C13FFB"/>
    <w:rsid w:val="00C145B2"/>
    <w:rsid w:val="00C14C24"/>
    <w:rsid w:val="00C14C6F"/>
    <w:rsid w:val="00C14F2C"/>
    <w:rsid w:val="00C151A3"/>
    <w:rsid w:val="00C1526D"/>
    <w:rsid w:val="00C153E9"/>
    <w:rsid w:val="00C1549C"/>
    <w:rsid w:val="00C1585C"/>
    <w:rsid w:val="00C1631B"/>
    <w:rsid w:val="00C1631C"/>
    <w:rsid w:val="00C16BA2"/>
    <w:rsid w:val="00C172B2"/>
    <w:rsid w:val="00C177BB"/>
    <w:rsid w:val="00C17A04"/>
    <w:rsid w:val="00C17A9B"/>
    <w:rsid w:val="00C200A9"/>
    <w:rsid w:val="00C2106E"/>
    <w:rsid w:val="00C21A49"/>
    <w:rsid w:val="00C21B66"/>
    <w:rsid w:val="00C22FB2"/>
    <w:rsid w:val="00C2316A"/>
    <w:rsid w:val="00C2374E"/>
    <w:rsid w:val="00C23778"/>
    <w:rsid w:val="00C237FC"/>
    <w:rsid w:val="00C2479A"/>
    <w:rsid w:val="00C2497C"/>
    <w:rsid w:val="00C24DAD"/>
    <w:rsid w:val="00C25C2D"/>
    <w:rsid w:val="00C26B08"/>
    <w:rsid w:val="00C27306"/>
    <w:rsid w:val="00C2753A"/>
    <w:rsid w:val="00C2788D"/>
    <w:rsid w:val="00C278D7"/>
    <w:rsid w:val="00C27C57"/>
    <w:rsid w:val="00C27CB1"/>
    <w:rsid w:val="00C30293"/>
    <w:rsid w:val="00C3045F"/>
    <w:rsid w:val="00C304B3"/>
    <w:rsid w:val="00C30860"/>
    <w:rsid w:val="00C311DC"/>
    <w:rsid w:val="00C31437"/>
    <w:rsid w:val="00C320A2"/>
    <w:rsid w:val="00C328E7"/>
    <w:rsid w:val="00C32D35"/>
    <w:rsid w:val="00C32E3C"/>
    <w:rsid w:val="00C33451"/>
    <w:rsid w:val="00C33930"/>
    <w:rsid w:val="00C33B47"/>
    <w:rsid w:val="00C34430"/>
    <w:rsid w:val="00C3480A"/>
    <w:rsid w:val="00C34831"/>
    <w:rsid w:val="00C34B21"/>
    <w:rsid w:val="00C34D68"/>
    <w:rsid w:val="00C35AF6"/>
    <w:rsid w:val="00C35BC7"/>
    <w:rsid w:val="00C35C1C"/>
    <w:rsid w:val="00C35DEB"/>
    <w:rsid w:val="00C3600F"/>
    <w:rsid w:val="00C367E2"/>
    <w:rsid w:val="00C36C68"/>
    <w:rsid w:val="00C370CD"/>
    <w:rsid w:val="00C40120"/>
    <w:rsid w:val="00C402E1"/>
    <w:rsid w:val="00C40771"/>
    <w:rsid w:val="00C40887"/>
    <w:rsid w:val="00C40F09"/>
    <w:rsid w:val="00C41A69"/>
    <w:rsid w:val="00C41BDC"/>
    <w:rsid w:val="00C429C6"/>
    <w:rsid w:val="00C42ED5"/>
    <w:rsid w:val="00C431B8"/>
    <w:rsid w:val="00C43451"/>
    <w:rsid w:val="00C439F7"/>
    <w:rsid w:val="00C43C18"/>
    <w:rsid w:val="00C44C73"/>
    <w:rsid w:val="00C44E61"/>
    <w:rsid w:val="00C459DD"/>
    <w:rsid w:val="00C45E07"/>
    <w:rsid w:val="00C4649C"/>
    <w:rsid w:val="00C46B7F"/>
    <w:rsid w:val="00C476F8"/>
    <w:rsid w:val="00C47E1E"/>
    <w:rsid w:val="00C500A0"/>
    <w:rsid w:val="00C5050E"/>
    <w:rsid w:val="00C5063E"/>
    <w:rsid w:val="00C5102F"/>
    <w:rsid w:val="00C512F7"/>
    <w:rsid w:val="00C51731"/>
    <w:rsid w:val="00C51DA7"/>
    <w:rsid w:val="00C51FE1"/>
    <w:rsid w:val="00C52710"/>
    <w:rsid w:val="00C52780"/>
    <w:rsid w:val="00C52EC0"/>
    <w:rsid w:val="00C52FC1"/>
    <w:rsid w:val="00C5332D"/>
    <w:rsid w:val="00C53398"/>
    <w:rsid w:val="00C5357A"/>
    <w:rsid w:val="00C53D4A"/>
    <w:rsid w:val="00C5407C"/>
    <w:rsid w:val="00C55CCF"/>
    <w:rsid w:val="00C55EB3"/>
    <w:rsid w:val="00C56933"/>
    <w:rsid w:val="00C5698E"/>
    <w:rsid w:val="00C56DB1"/>
    <w:rsid w:val="00C57C75"/>
    <w:rsid w:val="00C6082D"/>
    <w:rsid w:val="00C60AB0"/>
    <w:rsid w:val="00C60FBE"/>
    <w:rsid w:val="00C612EF"/>
    <w:rsid w:val="00C618BD"/>
    <w:rsid w:val="00C6191D"/>
    <w:rsid w:val="00C61CCA"/>
    <w:rsid w:val="00C624BC"/>
    <w:rsid w:val="00C62CC4"/>
    <w:rsid w:val="00C63081"/>
    <w:rsid w:val="00C630EC"/>
    <w:rsid w:val="00C63403"/>
    <w:rsid w:val="00C63B59"/>
    <w:rsid w:val="00C63DF5"/>
    <w:rsid w:val="00C63E27"/>
    <w:rsid w:val="00C6414D"/>
    <w:rsid w:val="00C6497A"/>
    <w:rsid w:val="00C64A26"/>
    <w:rsid w:val="00C64E90"/>
    <w:rsid w:val="00C65691"/>
    <w:rsid w:val="00C66201"/>
    <w:rsid w:val="00C673F6"/>
    <w:rsid w:val="00C6745C"/>
    <w:rsid w:val="00C677A1"/>
    <w:rsid w:val="00C67BB2"/>
    <w:rsid w:val="00C67CCF"/>
    <w:rsid w:val="00C67FF8"/>
    <w:rsid w:val="00C70213"/>
    <w:rsid w:val="00C70363"/>
    <w:rsid w:val="00C7104B"/>
    <w:rsid w:val="00C7166A"/>
    <w:rsid w:val="00C72452"/>
    <w:rsid w:val="00C73521"/>
    <w:rsid w:val="00C7365B"/>
    <w:rsid w:val="00C7377B"/>
    <w:rsid w:val="00C738AF"/>
    <w:rsid w:val="00C73C68"/>
    <w:rsid w:val="00C73EB5"/>
    <w:rsid w:val="00C744C6"/>
    <w:rsid w:val="00C74722"/>
    <w:rsid w:val="00C7479A"/>
    <w:rsid w:val="00C748D0"/>
    <w:rsid w:val="00C74D7E"/>
    <w:rsid w:val="00C74F2D"/>
    <w:rsid w:val="00C75722"/>
    <w:rsid w:val="00C7651E"/>
    <w:rsid w:val="00C76C49"/>
    <w:rsid w:val="00C77AA2"/>
    <w:rsid w:val="00C801CF"/>
    <w:rsid w:val="00C81814"/>
    <w:rsid w:val="00C81C3C"/>
    <w:rsid w:val="00C81F21"/>
    <w:rsid w:val="00C82048"/>
    <w:rsid w:val="00C82738"/>
    <w:rsid w:val="00C82ED8"/>
    <w:rsid w:val="00C831A2"/>
    <w:rsid w:val="00C833A5"/>
    <w:rsid w:val="00C83546"/>
    <w:rsid w:val="00C83858"/>
    <w:rsid w:val="00C84341"/>
    <w:rsid w:val="00C84A9F"/>
    <w:rsid w:val="00C85061"/>
    <w:rsid w:val="00C85161"/>
    <w:rsid w:val="00C85B4F"/>
    <w:rsid w:val="00C85DC3"/>
    <w:rsid w:val="00C865BA"/>
    <w:rsid w:val="00C87339"/>
    <w:rsid w:val="00C87BC6"/>
    <w:rsid w:val="00C90C4C"/>
    <w:rsid w:val="00C91709"/>
    <w:rsid w:val="00C92015"/>
    <w:rsid w:val="00C9215C"/>
    <w:rsid w:val="00C92200"/>
    <w:rsid w:val="00C92B29"/>
    <w:rsid w:val="00C93167"/>
    <w:rsid w:val="00C931A1"/>
    <w:rsid w:val="00C9386F"/>
    <w:rsid w:val="00C941F2"/>
    <w:rsid w:val="00C942BC"/>
    <w:rsid w:val="00C94C02"/>
    <w:rsid w:val="00C94FCB"/>
    <w:rsid w:val="00C958D3"/>
    <w:rsid w:val="00C95C46"/>
    <w:rsid w:val="00C96043"/>
    <w:rsid w:val="00C96418"/>
    <w:rsid w:val="00C9649E"/>
    <w:rsid w:val="00C964C4"/>
    <w:rsid w:val="00C96C58"/>
    <w:rsid w:val="00C96C9C"/>
    <w:rsid w:val="00C97150"/>
    <w:rsid w:val="00C97506"/>
    <w:rsid w:val="00C97FE6"/>
    <w:rsid w:val="00CA0590"/>
    <w:rsid w:val="00CA15C6"/>
    <w:rsid w:val="00CA1947"/>
    <w:rsid w:val="00CA1B0B"/>
    <w:rsid w:val="00CA25EF"/>
    <w:rsid w:val="00CA3269"/>
    <w:rsid w:val="00CA39FF"/>
    <w:rsid w:val="00CA3FAD"/>
    <w:rsid w:val="00CA49D6"/>
    <w:rsid w:val="00CA5117"/>
    <w:rsid w:val="00CA62C5"/>
    <w:rsid w:val="00CA723B"/>
    <w:rsid w:val="00CA7616"/>
    <w:rsid w:val="00CA765D"/>
    <w:rsid w:val="00CB12AB"/>
    <w:rsid w:val="00CB1EA0"/>
    <w:rsid w:val="00CB1FD3"/>
    <w:rsid w:val="00CB21D1"/>
    <w:rsid w:val="00CB27F8"/>
    <w:rsid w:val="00CB2DCA"/>
    <w:rsid w:val="00CB319F"/>
    <w:rsid w:val="00CB321A"/>
    <w:rsid w:val="00CB3941"/>
    <w:rsid w:val="00CB3C6A"/>
    <w:rsid w:val="00CB3EFC"/>
    <w:rsid w:val="00CB40F1"/>
    <w:rsid w:val="00CB45F4"/>
    <w:rsid w:val="00CB473D"/>
    <w:rsid w:val="00CB4C22"/>
    <w:rsid w:val="00CB4D8C"/>
    <w:rsid w:val="00CB4FBC"/>
    <w:rsid w:val="00CB5744"/>
    <w:rsid w:val="00CB5AA0"/>
    <w:rsid w:val="00CB5B66"/>
    <w:rsid w:val="00CB5BED"/>
    <w:rsid w:val="00CB6142"/>
    <w:rsid w:val="00CB6211"/>
    <w:rsid w:val="00CB6BE7"/>
    <w:rsid w:val="00CB7D22"/>
    <w:rsid w:val="00CB7E78"/>
    <w:rsid w:val="00CC012F"/>
    <w:rsid w:val="00CC0D8A"/>
    <w:rsid w:val="00CC0DDC"/>
    <w:rsid w:val="00CC1AFA"/>
    <w:rsid w:val="00CC1CD6"/>
    <w:rsid w:val="00CC1FB3"/>
    <w:rsid w:val="00CC23B8"/>
    <w:rsid w:val="00CC2505"/>
    <w:rsid w:val="00CC2622"/>
    <w:rsid w:val="00CC27F4"/>
    <w:rsid w:val="00CC32F1"/>
    <w:rsid w:val="00CC39A8"/>
    <w:rsid w:val="00CC4607"/>
    <w:rsid w:val="00CC4F8D"/>
    <w:rsid w:val="00CC4FEA"/>
    <w:rsid w:val="00CC5A60"/>
    <w:rsid w:val="00CC6406"/>
    <w:rsid w:val="00CC7624"/>
    <w:rsid w:val="00CC7698"/>
    <w:rsid w:val="00CC7D1F"/>
    <w:rsid w:val="00CD0174"/>
    <w:rsid w:val="00CD0364"/>
    <w:rsid w:val="00CD03D8"/>
    <w:rsid w:val="00CD088E"/>
    <w:rsid w:val="00CD1172"/>
    <w:rsid w:val="00CD1525"/>
    <w:rsid w:val="00CD1C2B"/>
    <w:rsid w:val="00CD1E33"/>
    <w:rsid w:val="00CD2796"/>
    <w:rsid w:val="00CD2B86"/>
    <w:rsid w:val="00CD2EAF"/>
    <w:rsid w:val="00CD2F69"/>
    <w:rsid w:val="00CD3380"/>
    <w:rsid w:val="00CD341E"/>
    <w:rsid w:val="00CD35E3"/>
    <w:rsid w:val="00CD35F3"/>
    <w:rsid w:val="00CD37A2"/>
    <w:rsid w:val="00CD3A9C"/>
    <w:rsid w:val="00CD3FC6"/>
    <w:rsid w:val="00CD423E"/>
    <w:rsid w:val="00CD426A"/>
    <w:rsid w:val="00CD45BE"/>
    <w:rsid w:val="00CD4638"/>
    <w:rsid w:val="00CD485C"/>
    <w:rsid w:val="00CD4976"/>
    <w:rsid w:val="00CD4981"/>
    <w:rsid w:val="00CD49F0"/>
    <w:rsid w:val="00CD53E9"/>
    <w:rsid w:val="00CD57C3"/>
    <w:rsid w:val="00CD5814"/>
    <w:rsid w:val="00CD588D"/>
    <w:rsid w:val="00CD5F5F"/>
    <w:rsid w:val="00CD5F71"/>
    <w:rsid w:val="00CD6387"/>
    <w:rsid w:val="00CD645D"/>
    <w:rsid w:val="00CD67AD"/>
    <w:rsid w:val="00CD6A83"/>
    <w:rsid w:val="00CD7B1E"/>
    <w:rsid w:val="00CE0939"/>
    <w:rsid w:val="00CE1574"/>
    <w:rsid w:val="00CE1C0B"/>
    <w:rsid w:val="00CE1F71"/>
    <w:rsid w:val="00CE211B"/>
    <w:rsid w:val="00CE24F3"/>
    <w:rsid w:val="00CE24FC"/>
    <w:rsid w:val="00CE2B6B"/>
    <w:rsid w:val="00CE2B97"/>
    <w:rsid w:val="00CE2E67"/>
    <w:rsid w:val="00CE3A31"/>
    <w:rsid w:val="00CE402F"/>
    <w:rsid w:val="00CE416F"/>
    <w:rsid w:val="00CE4287"/>
    <w:rsid w:val="00CE4B1E"/>
    <w:rsid w:val="00CE4C70"/>
    <w:rsid w:val="00CE4F67"/>
    <w:rsid w:val="00CE61ED"/>
    <w:rsid w:val="00CE6C74"/>
    <w:rsid w:val="00CE6DF5"/>
    <w:rsid w:val="00CE6DF7"/>
    <w:rsid w:val="00CE6F9B"/>
    <w:rsid w:val="00CE713B"/>
    <w:rsid w:val="00CE7325"/>
    <w:rsid w:val="00CE75F2"/>
    <w:rsid w:val="00CE776E"/>
    <w:rsid w:val="00CE779F"/>
    <w:rsid w:val="00CE7AFB"/>
    <w:rsid w:val="00CE7DAE"/>
    <w:rsid w:val="00CF03C7"/>
    <w:rsid w:val="00CF0514"/>
    <w:rsid w:val="00CF0603"/>
    <w:rsid w:val="00CF0728"/>
    <w:rsid w:val="00CF20AA"/>
    <w:rsid w:val="00CF2673"/>
    <w:rsid w:val="00CF29A6"/>
    <w:rsid w:val="00CF2E5E"/>
    <w:rsid w:val="00CF3630"/>
    <w:rsid w:val="00CF3B94"/>
    <w:rsid w:val="00CF3D72"/>
    <w:rsid w:val="00CF4071"/>
    <w:rsid w:val="00CF44EA"/>
    <w:rsid w:val="00CF4535"/>
    <w:rsid w:val="00CF46F6"/>
    <w:rsid w:val="00CF4A3D"/>
    <w:rsid w:val="00CF56E5"/>
    <w:rsid w:val="00CF60D0"/>
    <w:rsid w:val="00CF6937"/>
    <w:rsid w:val="00CF6D32"/>
    <w:rsid w:val="00CF6E39"/>
    <w:rsid w:val="00CF6FD7"/>
    <w:rsid w:val="00CF7736"/>
    <w:rsid w:val="00CF784B"/>
    <w:rsid w:val="00CF7994"/>
    <w:rsid w:val="00CF7DFC"/>
    <w:rsid w:val="00D007A4"/>
    <w:rsid w:val="00D00811"/>
    <w:rsid w:val="00D00936"/>
    <w:rsid w:val="00D009AB"/>
    <w:rsid w:val="00D009BE"/>
    <w:rsid w:val="00D00BF0"/>
    <w:rsid w:val="00D0106E"/>
    <w:rsid w:val="00D0137A"/>
    <w:rsid w:val="00D01615"/>
    <w:rsid w:val="00D01AC8"/>
    <w:rsid w:val="00D01D16"/>
    <w:rsid w:val="00D024D8"/>
    <w:rsid w:val="00D03633"/>
    <w:rsid w:val="00D0372F"/>
    <w:rsid w:val="00D03BF1"/>
    <w:rsid w:val="00D04532"/>
    <w:rsid w:val="00D04E2D"/>
    <w:rsid w:val="00D05179"/>
    <w:rsid w:val="00D05B51"/>
    <w:rsid w:val="00D0608F"/>
    <w:rsid w:val="00D06413"/>
    <w:rsid w:val="00D06DC3"/>
    <w:rsid w:val="00D070F6"/>
    <w:rsid w:val="00D07CBF"/>
    <w:rsid w:val="00D100DC"/>
    <w:rsid w:val="00D10124"/>
    <w:rsid w:val="00D10532"/>
    <w:rsid w:val="00D10921"/>
    <w:rsid w:val="00D1092C"/>
    <w:rsid w:val="00D110DB"/>
    <w:rsid w:val="00D12802"/>
    <w:rsid w:val="00D12B1F"/>
    <w:rsid w:val="00D1380E"/>
    <w:rsid w:val="00D14303"/>
    <w:rsid w:val="00D143F4"/>
    <w:rsid w:val="00D144D7"/>
    <w:rsid w:val="00D14D65"/>
    <w:rsid w:val="00D15D4E"/>
    <w:rsid w:val="00D15D69"/>
    <w:rsid w:val="00D15E17"/>
    <w:rsid w:val="00D15E7B"/>
    <w:rsid w:val="00D160C4"/>
    <w:rsid w:val="00D16608"/>
    <w:rsid w:val="00D166F8"/>
    <w:rsid w:val="00D16A9C"/>
    <w:rsid w:val="00D16F1C"/>
    <w:rsid w:val="00D17631"/>
    <w:rsid w:val="00D178AF"/>
    <w:rsid w:val="00D17FD1"/>
    <w:rsid w:val="00D20498"/>
    <w:rsid w:val="00D20CF2"/>
    <w:rsid w:val="00D20D8E"/>
    <w:rsid w:val="00D228F1"/>
    <w:rsid w:val="00D22B62"/>
    <w:rsid w:val="00D2361C"/>
    <w:rsid w:val="00D237E9"/>
    <w:rsid w:val="00D239AB"/>
    <w:rsid w:val="00D245DF"/>
    <w:rsid w:val="00D2504F"/>
    <w:rsid w:val="00D251FE"/>
    <w:rsid w:val="00D26007"/>
    <w:rsid w:val="00D260BE"/>
    <w:rsid w:val="00D2657A"/>
    <w:rsid w:val="00D26E58"/>
    <w:rsid w:val="00D26EB6"/>
    <w:rsid w:val="00D26F5D"/>
    <w:rsid w:val="00D2711D"/>
    <w:rsid w:val="00D27E04"/>
    <w:rsid w:val="00D30875"/>
    <w:rsid w:val="00D30A82"/>
    <w:rsid w:val="00D30B40"/>
    <w:rsid w:val="00D312F1"/>
    <w:rsid w:val="00D3149C"/>
    <w:rsid w:val="00D318FD"/>
    <w:rsid w:val="00D31955"/>
    <w:rsid w:val="00D31E5A"/>
    <w:rsid w:val="00D32346"/>
    <w:rsid w:val="00D327C7"/>
    <w:rsid w:val="00D32941"/>
    <w:rsid w:val="00D32B54"/>
    <w:rsid w:val="00D32C6D"/>
    <w:rsid w:val="00D32D4D"/>
    <w:rsid w:val="00D335C4"/>
    <w:rsid w:val="00D343D3"/>
    <w:rsid w:val="00D34768"/>
    <w:rsid w:val="00D34786"/>
    <w:rsid w:val="00D34E7E"/>
    <w:rsid w:val="00D34F5A"/>
    <w:rsid w:val="00D3543B"/>
    <w:rsid w:val="00D35662"/>
    <w:rsid w:val="00D35865"/>
    <w:rsid w:val="00D35C2E"/>
    <w:rsid w:val="00D36447"/>
    <w:rsid w:val="00D36646"/>
    <w:rsid w:val="00D36830"/>
    <w:rsid w:val="00D36B14"/>
    <w:rsid w:val="00D36D22"/>
    <w:rsid w:val="00D36D30"/>
    <w:rsid w:val="00D37AC9"/>
    <w:rsid w:val="00D40B35"/>
    <w:rsid w:val="00D41BED"/>
    <w:rsid w:val="00D426BE"/>
    <w:rsid w:val="00D42B40"/>
    <w:rsid w:val="00D42B73"/>
    <w:rsid w:val="00D432E3"/>
    <w:rsid w:val="00D436BB"/>
    <w:rsid w:val="00D45220"/>
    <w:rsid w:val="00D455BF"/>
    <w:rsid w:val="00D45D37"/>
    <w:rsid w:val="00D4620A"/>
    <w:rsid w:val="00D468EF"/>
    <w:rsid w:val="00D474E7"/>
    <w:rsid w:val="00D477DB"/>
    <w:rsid w:val="00D479FF"/>
    <w:rsid w:val="00D47C4C"/>
    <w:rsid w:val="00D50059"/>
    <w:rsid w:val="00D50B0D"/>
    <w:rsid w:val="00D50B7A"/>
    <w:rsid w:val="00D51558"/>
    <w:rsid w:val="00D5162C"/>
    <w:rsid w:val="00D51920"/>
    <w:rsid w:val="00D52072"/>
    <w:rsid w:val="00D52676"/>
    <w:rsid w:val="00D52BF6"/>
    <w:rsid w:val="00D532C8"/>
    <w:rsid w:val="00D534CB"/>
    <w:rsid w:val="00D5372E"/>
    <w:rsid w:val="00D539B2"/>
    <w:rsid w:val="00D53B7B"/>
    <w:rsid w:val="00D5437D"/>
    <w:rsid w:val="00D549AC"/>
    <w:rsid w:val="00D54A39"/>
    <w:rsid w:val="00D54CCD"/>
    <w:rsid w:val="00D55193"/>
    <w:rsid w:val="00D555C8"/>
    <w:rsid w:val="00D55756"/>
    <w:rsid w:val="00D55950"/>
    <w:rsid w:val="00D559E5"/>
    <w:rsid w:val="00D55AC7"/>
    <w:rsid w:val="00D55EE3"/>
    <w:rsid w:val="00D56167"/>
    <w:rsid w:val="00D5682E"/>
    <w:rsid w:val="00D57351"/>
    <w:rsid w:val="00D57529"/>
    <w:rsid w:val="00D57607"/>
    <w:rsid w:val="00D576A5"/>
    <w:rsid w:val="00D60626"/>
    <w:rsid w:val="00D60896"/>
    <w:rsid w:val="00D60DC8"/>
    <w:rsid w:val="00D61339"/>
    <w:rsid w:val="00D61511"/>
    <w:rsid w:val="00D615FD"/>
    <w:rsid w:val="00D616D5"/>
    <w:rsid w:val="00D625DE"/>
    <w:rsid w:val="00D626F7"/>
    <w:rsid w:val="00D63037"/>
    <w:rsid w:val="00D6308F"/>
    <w:rsid w:val="00D631E5"/>
    <w:rsid w:val="00D6349C"/>
    <w:rsid w:val="00D6368E"/>
    <w:rsid w:val="00D63E83"/>
    <w:rsid w:val="00D64051"/>
    <w:rsid w:val="00D643B7"/>
    <w:rsid w:val="00D64413"/>
    <w:rsid w:val="00D64802"/>
    <w:rsid w:val="00D650EF"/>
    <w:rsid w:val="00D655A3"/>
    <w:rsid w:val="00D65A7A"/>
    <w:rsid w:val="00D65AE5"/>
    <w:rsid w:val="00D65CA1"/>
    <w:rsid w:val="00D65D87"/>
    <w:rsid w:val="00D65DB7"/>
    <w:rsid w:val="00D65F79"/>
    <w:rsid w:val="00D66083"/>
    <w:rsid w:val="00D66737"/>
    <w:rsid w:val="00D6699B"/>
    <w:rsid w:val="00D66F17"/>
    <w:rsid w:val="00D674DE"/>
    <w:rsid w:val="00D67582"/>
    <w:rsid w:val="00D67862"/>
    <w:rsid w:val="00D67994"/>
    <w:rsid w:val="00D67BC4"/>
    <w:rsid w:val="00D67F7C"/>
    <w:rsid w:val="00D7063D"/>
    <w:rsid w:val="00D71726"/>
    <w:rsid w:val="00D71EA7"/>
    <w:rsid w:val="00D72117"/>
    <w:rsid w:val="00D72515"/>
    <w:rsid w:val="00D72B42"/>
    <w:rsid w:val="00D73DAC"/>
    <w:rsid w:val="00D74192"/>
    <w:rsid w:val="00D74512"/>
    <w:rsid w:val="00D749D5"/>
    <w:rsid w:val="00D74A28"/>
    <w:rsid w:val="00D74BFF"/>
    <w:rsid w:val="00D75133"/>
    <w:rsid w:val="00D757A4"/>
    <w:rsid w:val="00D75821"/>
    <w:rsid w:val="00D75966"/>
    <w:rsid w:val="00D760CD"/>
    <w:rsid w:val="00D76A65"/>
    <w:rsid w:val="00D76C10"/>
    <w:rsid w:val="00D76E98"/>
    <w:rsid w:val="00D7729F"/>
    <w:rsid w:val="00D77AB5"/>
    <w:rsid w:val="00D82A7E"/>
    <w:rsid w:val="00D82AD2"/>
    <w:rsid w:val="00D82BAC"/>
    <w:rsid w:val="00D8354A"/>
    <w:rsid w:val="00D83CC8"/>
    <w:rsid w:val="00D83D88"/>
    <w:rsid w:val="00D845BE"/>
    <w:rsid w:val="00D845D4"/>
    <w:rsid w:val="00D84CDA"/>
    <w:rsid w:val="00D84D23"/>
    <w:rsid w:val="00D8540D"/>
    <w:rsid w:val="00D855A5"/>
    <w:rsid w:val="00D85A74"/>
    <w:rsid w:val="00D85B88"/>
    <w:rsid w:val="00D86D29"/>
    <w:rsid w:val="00D87364"/>
    <w:rsid w:val="00D877B6"/>
    <w:rsid w:val="00D87BF9"/>
    <w:rsid w:val="00D87FAB"/>
    <w:rsid w:val="00D909E4"/>
    <w:rsid w:val="00D90B5E"/>
    <w:rsid w:val="00D91012"/>
    <w:rsid w:val="00D9106A"/>
    <w:rsid w:val="00D914BE"/>
    <w:rsid w:val="00D92924"/>
    <w:rsid w:val="00D92CB1"/>
    <w:rsid w:val="00D92CEB"/>
    <w:rsid w:val="00D92DB3"/>
    <w:rsid w:val="00D93052"/>
    <w:rsid w:val="00D9325F"/>
    <w:rsid w:val="00D93B1D"/>
    <w:rsid w:val="00D9535B"/>
    <w:rsid w:val="00D957E0"/>
    <w:rsid w:val="00D95978"/>
    <w:rsid w:val="00D95C09"/>
    <w:rsid w:val="00D96153"/>
    <w:rsid w:val="00D9656C"/>
    <w:rsid w:val="00D96C26"/>
    <w:rsid w:val="00D96E29"/>
    <w:rsid w:val="00D9717F"/>
    <w:rsid w:val="00D97224"/>
    <w:rsid w:val="00D974DC"/>
    <w:rsid w:val="00D975CB"/>
    <w:rsid w:val="00D978CA"/>
    <w:rsid w:val="00D97A7E"/>
    <w:rsid w:val="00D97BEE"/>
    <w:rsid w:val="00DA05FD"/>
    <w:rsid w:val="00DA0E9F"/>
    <w:rsid w:val="00DA0F37"/>
    <w:rsid w:val="00DA0F5D"/>
    <w:rsid w:val="00DA1EC0"/>
    <w:rsid w:val="00DA1FB1"/>
    <w:rsid w:val="00DA23FD"/>
    <w:rsid w:val="00DA2741"/>
    <w:rsid w:val="00DA385B"/>
    <w:rsid w:val="00DA3E13"/>
    <w:rsid w:val="00DA43D5"/>
    <w:rsid w:val="00DA45F8"/>
    <w:rsid w:val="00DA4A49"/>
    <w:rsid w:val="00DA4A76"/>
    <w:rsid w:val="00DA5F75"/>
    <w:rsid w:val="00DA6769"/>
    <w:rsid w:val="00DA692F"/>
    <w:rsid w:val="00DA6C0C"/>
    <w:rsid w:val="00DA7AFD"/>
    <w:rsid w:val="00DA7F17"/>
    <w:rsid w:val="00DB018E"/>
    <w:rsid w:val="00DB0190"/>
    <w:rsid w:val="00DB0592"/>
    <w:rsid w:val="00DB08D1"/>
    <w:rsid w:val="00DB09C1"/>
    <w:rsid w:val="00DB0DCF"/>
    <w:rsid w:val="00DB0F34"/>
    <w:rsid w:val="00DB14E5"/>
    <w:rsid w:val="00DB1BE6"/>
    <w:rsid w:val="00DB1E1C"/>
    <w:rsid w:val="00DB20A7"/>
    <w:rsid w:val="00DB2900"/>
    <w:rsid w:val="00DB2C84"/>
    <w:rsid w:val="00DB2FA2"/>
    <w:rsid w:val="00DB4091"/>
    <w:rsid w:val="00DB4232"/>
    <w:rsid w:val="00DB4364"/>
    <w:rsid w:val="00DB4708"/>
    <w:rsid w:val="00DB478C"/>
    <w:rsid w:val="00DB4ED5"/>
    <w:rsid w:val="00DB5019"/>
    <w:rsid w:val="00DB5470"/>
    <w:rsid w:val="00DB5A97"/>
    <w:rsid w:val="00DB5F0E"/>
    <w:rsid w:val="00DB65C5"/>
    <w:rsid w:val="00DB6851"/>
    <w:rsid w:val="00DB6A52"/>
    <w:rsid w:val="00DB73B6"/>
    <w:rsid w:val="00DB77CC"/>
    <w:rsid w:val="00DB7C24"/>
    <w:rsid w:val="00DC02E9"/>
    <w:rsid w:val="00DC0603"/>
    <w:rsid w:val="00DC09B4"/>
    <w:rsid w:val="00DC0B3C"/>
    <w:rsid w:val="00DC13A1"/>
    <w:rsid w:val="00DC2257"/>
    <w:rsid w:val="00DC280B"/>
    <w:rsid w:val="00DC2AE6"/>
    <w:rsid w:val="00DC2D26"/>
    <w:rsid w:val="00DC3464"/>
    <w:rsid w:val="00DC569F"/>
    <w:rsid w:val="00DC62D0"/>
    <w:rsid w:val="00DC639F"/>
    <w:rsid w:val="00DC67BB"/>
    <w:rsid w:val="00DC6AFE"/>
    <w:rsid w:val="00DC7012"/>
    <w:rsid w:val="00DC705F"/>
    <w:rsid w:val="00DC76ED"/>
    <w:rsid w:val="00DD05B8"/>
    <w:rsid w:val="00DD0AD2"/>
    <w:rsid w:val="00DD1840"/>
    <w:rsid w:val="00DD1942"/>
    <w:rsid w:val="00DD1B73"/>
    <w:rsid w:val="00DD20E9"/>
    <w:rsid w:val="00DD2D05"/>
    <w:rsid w:val="00DD440D"/>
    <w:rsid w:val="00DD4A70"/>
    <w:rsid w:val="00DD4B60"/>
    <w:rsid w:val="00DD573C"/>
    <w:rsid w:val="00DD66EF"/>
    <w:rsid w:val="00DD71C2"/>
    <w:rsid w:val="00DD7DF3"/>
    <w:rsid w:val="00DE097F"/>
    <w:rsid w:val="00DE1462"/>
    <w:rsid w:val="00DE1B8A"/>
    <w:rsid w:val="00DE355C"/>
    <w:rsid w:val="00DE4000"/>
    <w:rsid w:val="00DE5375"/>
    <w:rsid w:val="00DE53D2"/>
    <w:rsid w:val="00DE57A9"/>
    <w:rsid w:val="00DE71DD"/>
    <w:rsid w:val="00DE7AFE"/>
    <w:rsid w:val="00DE7D26"/>
    <w:rsid w:val="00DE7F67"/>
    <w:rsid w:val="00DF100C"/>
    <w:rsid w:val="00DF1432"/>
    <w:rsid w:val="00DF1585"/>
    <w:rsid w:val="00DF163E"/>
    <w:rsid w:val="00DF17B8"/>
    <w:rsid w:val="00DF286F"/>
    <w:rsid w:val="00DF2CDF"/>
    <w:rsid w:val="00DF318C"/>
    <w:rsid w:val="00DF34E5"/>
    <w:rsid w:val="00DF3B3F"/>
    <w:rsid w:val="00DF3C53"/>
    <w:rsid w:val="00DF3D20"/>
    <w:rsid w:val="00DF3DE3"/>
    <w:rsid w:val="00DF4250"/>
    <w:rsid w:val="00DF48A3"/>
    <w:rsid w:val="00DF4FA3"/>
    <w:rsid w:val="00DF5084"/>
    <w:rsid w:val="00DF5527"/>
    <w:rsid w:val="00DF583C"/>
    <w:rsid w:val="00DF5A3E"/>
    <w:rsid w:val="00DF5B20"/>
    <w:rsid w:val="00DF5C28"/>
    <w:rsid w:val="00DF5DD3"/>
    <w:rsid w:val="00DF6A92"/>
    <w:rsid w:val="00DF6E1F"/>
    <w:rsid w:val="00DF73DE"/>
    <w:rsid w:val="00DF78D5"/>
    <w:rsid w:val="00DF7963"/>
    <w:rsid w:val="00DF7D86"/>
    <w:rsid w:val="00E00358"/>
    <w:rsid w:val="00E00F0D"/>
    <w:rsid w:val="00E01739"/>
    <w:rsid w:val="00E03B93"/>
    <w:rsid w:val="00E03E9E"/>
    <w:rsid w:val="00E04239"/>
    <w:rsid w:val="00E0473B"/>
    <w:rsid w:val="00E04745"/>
    <w:rsid w:val="00E049A9"/>
    <w:rsid w:val="00E04C25"/>
    <w:rsid w:val="00E05202"/>
    <w:rsid w:val="00E05DE8"/>
    <w:rsid w:val="00E066C8"/>
    <w:rsid w:val="00E06D9B"/>
    <w:rsid w:val="00E07491"/>
    <w:rsid w:val="00E0760E"/>
    <w:rsid w:val="00E076F8"/>
    <w:rsid w:val="00E07C2C"/>
    <w:rsid w:val="00E10DB5"/>
    <w:rsid w:val="00E10F6C"/>
    <w:rsid w:val="00E1152A"/>
    <w:rsid w:val="00E11FDE"/>
    <w:rsid w:val="00E12CD7"/>
    <w:rsid w:val="00E12EB5"/>
    <w:rsid w:val="00E13269"/>
    <w:rsid w:val="00E1351D"/>
    <w:rsid w:val="00E135DE"/>
    <w:rsid w:val="00E137B2"/>
    <w:rsid w:val="00E139CE"/>
    <w:rsid w:val="00E13CB7"/>
    <w:rsid w:val="00E14565"/>
    <w:rsid w:val="00E14A3B"/>
    <w:rsid w:val="00E15725"/>
    <w:rsid w:val="00E15BAC"/>
    <w:rsid w:val="00E15FC0"/>
    <w:rsid w:val="00E16227"/>
    <w:rsid w:val="00E162A1"/>
    <w:rsid w:val="00E162CA"/>
    <w:rsid w:val="00E164FB"/>
    <w:rsid w:val="00E165B3"/>
    <w:rsid w:val="00E1669E"/>
    <w:rsid w:val="00E16898"/>
    <w:rsid w:val="00E168AB"/>
    <w:rsid w:val="00E1695B"/>
    <w:rsid w:val="00E1777D"/>
    <w:rsid w:val="00E20E54"/>
    <w:rsid w:val="00E21055"/>
    <w:rsid w:val="00E2107E"/>
    <w:rsid w:val="00E211B8"/>
    <w:rsid w:val="00E22C8E"/>
    <w:rsid w:val="00E2322F"/>
    <w:rsid w:val="00E23B2B"/>
    <w:rsid w:val="00E240A3"/>
    <w:rsid w:val="00E2496B"/>
    <w:rsid w:val="00E258FD"/>
    <w:rsid w:val="00E25916"/>
    <w:rsid w:val="00E25A92"/>
    <w:rsid w:val="00E25F48"/>
    <w:rsid w:val="00E263DE"/>
    <w:rsid w:val="00E264C9"/>
    <w:rsid w:val="00E26A4D"/>
    <w:rsid w:val="00E26D3C"/>
    <w:rsid w:val="00E26FED"/>
    <w:rsid w:val="00E27B43"/>
    <w:rsid w:val="00E30FA1"/>
    <w:rsid w:val="00E31167"/>
    <w:rsid w:val="00E314B5"/>
    <w:rsid w:val="00E32164"/>
    <w:rsid w:val="00E322E8"/>
    <w:rsid w:val="00E32779"/>
    <w:rsid w:val="00E32A78"/>
    <w:rsid w:val="00E33427"/>
    <w:rsid w:val="00E33854"/>
    <w:rsid w:val="00E338FD"/>
    <w:rsid w:val="00E33A07"/>
    <w:rsid w:val="00E33DBA"/>
    <w:rsid w:val="00E3475A"/>
    <w:rsid w:val="00E34B44"/>
    <w:rsid w:val="00E37566"/>
    <w:rsid w:val="00E4031B"/>
    <w:rsid w:val="00E409A9"/>
    <w:rsid w:val="00E41489"/>
    <w:rsid w:val="00E4189E"/>
    <w:rsid w:val="00E42F7B"/>
    <w:rsid w:val="00E436D4"/>
    <w:rsid w:val="00E4421B"/>
    <w:rsid w:val="00E44279"/>
    <w:rsid w:val="00E44DC1"/>
    <w:rsid w:val="00E454DF"/>
    <w:rsid w:val="00E47490"/>
    <w:rsid w:val="00E506CC"/>
    <w:rsid w:val="00E507F8"/>
    <w:rsid w:val="00E5135E"/>
    <w:rsid w:val="00E51A29"/>
    <w:rsid w:val="00E52B45"/>
    <w:rsid w:val="00E53132"/>
    <w:rsid w:val="00E53720"/>
    <w:rsid w:val="00E54066"/>
    <w:rsid w:val="00E543F4"/>
    <w:rsid w:val="00E54893"/>
    <w:rsid w:val="00E54A63"/>
    <w:rsid w:val="00E54C75"/>
    <w:rsid w:val="00E54D5F"/>
    <w:rsid w:val="00E550A6"/>
    <w:rsid w:val="00E555D3"/>
    <w:rsid w:val="00E55E44"/>
    <w:rsid w:val="00E5643A"/>
    <w:rsid w:val="00E56DD3"/>
    <w:rsid w:val="00E573F4"/>
    <w:rsid w:val="00E57B19"/>
    <w:rsid w:val="00E601AB"/>
    <w:rsid w:val="00E60799"/>
    <w:rsid w:val="00E60A94"/>
    <w:rsid w:val="00E61ED0"/>
    <w:rsid w:val="00E62155"/>
    <w:rsid w:val="00E62CA0"/>
    <w:rsid w:val="00E63701"/>
    <w:rsid w:val="00E63C18"/>
    <w:rsid w:val="00E63CB1"/>
    <w:rsid w:val="00E64604"/>
    <w:rsid w:val="00E659A0"/>
    <w:rsid w:val="00E65D32"/>
    <w:rsid w:val="00E6602A"/>
    <w:rsid w:val="00E660E3"/>
    <w:rsid w:val="00E66149"/>
    <w:rsid w:val="00E661E3"/>
    <w:rsid w:val="00E6629C"/>
    <w:rsid w:val="00E666FA"/>
    <w:rsid w:val="00E66DBB"/>
    <w:rsid w:val="00E675DB"/>
    <w:rsid w:val="00E67B48"/>
    <w:rsid w:val="00E70015"/>
    <w:rsid w:val="00E701E8"/>
    <w:rsid w:val="00E72B31"/>
    <w:rsid w:val="00E72C5E"/>
    <w:rsid w:val="00E730C2"/>
    <w:rsid w:val="00E73125"/>
    <w:rsid w:val="00E73342"/>
    <w:rsid w:val="00E7371F"/>
    <w:rsid w:val="00E73A58"/>
    <w:rsid w:val="00E73C2F"/>
    <w:rsid w:val="00E746FD"/>
    <w:rsid w:val="00E7549B"/>
    <w:rsid w:val="00E76267"/>
    <w:rsid w:val="00E76377"/>
    <w:rsid w:val="00E77986"/>
    <w:rsid w:val="00E80AD7"/>
    <w:rsid w:val="00E80D22"/>
    <w:rsid w:val="00E80FD0"/>
    <w:rsid w:val="00E817AC"/>
    <w:rsid w:val="00E81AE9"/>
    <w:rsid w:val="00E820E4"/>
    <w:rsid w:val="00E82E4B"/>
    <w:rsid w:val="00E82F5A"/>
    <w:rsid w:val="00E83101"/>
    <w:rsid w:val="00E83198"/>
    <w:rsid w:val="00E83B0F"/>
    <w:rsid w:val="00E83C39"/>
    <w:rsid w:val="00E84096"/>
    <w:rsid w:val="00E840C6"/>
    <w:rsid w:val="00E85138"/>
    <w:rsid w:val="00E85776"/>
    <w:rsid w:val="00E857F4"/>
    <w:rsid w:val="00E860C6"/>
    <w:rsid w:val="00E87498"/>
    <w:rsid w:val="00E87DDE"/>
    <w:rsid w:val="00E9095B"/>
    <w:rsid w:val="00E90AAE"/>
    <w:rsid w:val="00E90EC2"/>
    <w:rsid w:val="00E91592"/>
    <w:rsid w:val="00E91889"/>
    <w:rsid w:val="00E923D5"/>
    <w:rsid w:val="00E92656"/>
    <w:rsid w:val="00E93865"/>
    <w:rsid w:val="00E93B45"/>
    <w:rsid w:val="00E93D6B"/>
    <w:rsid w:val="00E95C6D"/>
    <w:rsid w:val="00E95FA8"/>
    <w:rsid w:val="00E967F8"/>
    <w:rsid w:val="00E97469"/>
    <w:rsid w:val="00E97715"/>
    <w:rsid w:val="00EA03E5"/>
    <w:rsid w:val="00EA04F8"/>
    <w:rsid w:val="00EA22CD"/>
    <w:rsid w:val="00EA23CB"/>
    <w:rsid w:val="00EA2618"/>
    <w:rsid w:val="00EA279C"/>
    <w:rsid w:val="00EA2A0A"/>
    <w:rsid w:val="00EA2AFD"/>
    <w:rsid w:val="00EA2B3D"/>
    <w:rsid w:val="00EA39BF"/>
    <w:rsid w:val="00EA3CA1"/>
    <w:rsid w:val="00EA40E1"/>
    <w:rsid w:val="00EA4AA4"/>
    <w:rsid w:val="00EA4FA2"/>
    <w:rsid w:val="00EA55AE"/>
    <w:rsid w:val="00EA5D50"/>
    <w:rsid w:val="00EA62F3"/>
    <w:rsid w:val="00EA6544"/>
    <w:rsid w:val="00EA6A85"/>
    <w:rsid w:val="00EA7252"/>
    <w:rsid w:val="00EA72B0"/>
    <w:rsid w:val="00EA74CD"/>
    <w:rsid w:val="00EA7820"/>
    <w:rsid w:val="00EA7934"/>
    <w:rsid w:val="00EA7C8B"/>
    <w:rsid w:val="00EA7F8A"/>
    <w:rsid w:val="00EB00AC"/>
    <w:rsid w:val="00EB01F1"/>
    <w:rsid w:val="00EB06AA"/>
    <w:rsid w:val="00EB091A"/>
    <w:rsid w:val="00EB095B"/>
    <w:rsid w:val="00EB1588"/>
    <w:rsid w:val="00EB1BDA"/>
    <w:rsid w:val="00EB24E7"/>
    <w:rsid w:val="00EB25E1"/>
    <w:rsid w:val="00EB2620"/>
    <w:rsid w:val="00EB2767"/>
    <w:rsid w:val="00EB28EB"/>
    <w:rsid w:val="00EB397D"/>
    <w:rsid w:val="00EB3C61"/>
    <w:rsid w:val="00EB3DF7"/>
    <w:rsid w:val="00EB40EA"/>
    <w:rsid w:val="00EB4757"/>
    <w:rsid w:val="00EB500A"/>
    <w:rsid w:val="00EB5025"/>
    <w:rsid w:val="00EB5204"/>
    <w:rsid w:val="00EB5273"/>
    <w:rsid w:val="00EB5562"/>
    <w:rsid w:val="00EB65B7"/>
    <w:rsid w:val="00EB689B"/>
    <w:rsid w:val="00EB6A84"/>
    <w:rsid w:val="00EB6D09"/>
    <w:rsid w:val="00EC0A68"/>
    <w:rsid w:val="00EC0B13"/>
    <w:rsid w:val="00EC16C1"/>
    <w:rsid w:val="00EC18F1"/>
    <w:rsid w:val="00EC1CF8"/>
    <w:rsid w:val="00EC1E29"/>
    <w:rsid w:val="00EC27F9"/>
    <w:rsid w:val="00EC2818"/>
    <w:rsid w:val="00EC3C81"/>
    <w:rsid w:val="00EC3F51"/>
    <w:rsid w:val="00EC404B"/>
    <w:rsid w:val="00EC41EF"/>
    <w:rsid w:val="00EC4BF5"/>
    <w:rsid w:val="00EC57C4"/>
    <w:rsid w:val="00EC63D8"/>
    <w:rsid w:val="00EC6624"/>
    <w:rsid w:val="00EC66CD"/>
    <w:rsid w:val="00ED0294"/>
    <w:rsid w:val="00ED092F"/>
    <w:rsid w:val="00ED0AD8"/>
    <w:rsid w:val="00ED0B26"/>
    <w:rsid w:val="00ED0D57"/>
    <w:rsid w:val="00ED1298"/>
    <w:rsid w:val="00ED1374"/>
    <w:rsid w:val="00ED29C6"/>
    <w:rsid w:val="00ED2F03"/>
    <w:rsid w:val="00ED2F69"/>
    <w:rsid w:val="00ED322B"/>
    <w:rsid w:val="00ED326A"/>
    <w:rsid w:val="00ED360E"/>
    <w:rsid w:val="00ED36B4"/>
    <w:rsid w:val="00ED3CC1"/>
    <w:rsid w:val="00ED3F12"/>
    <w:rsid w:val="00ED46E7"/>
    <w:rsid w:val="00ED49C4"/>
    <w:rsid w:val="00ED5B4E"/>
    <w:rsid w:val="00ED6943"/>
    <w:rsid w:val="00ED70B9"/>
    <w:rsid w:val="00ED7526"/>
    <w:rsid w:val="00ED78EF"/>
    <w:rsid w:val="00ED7E3F"/>
    <w:rsid w:val="00EE057A"/>
    <w:rsid w:val="00EE096E"/>
    <w:rsid w:val="00EE0C92"/>
    <w:rsid w:val="00EE12A4"/>
    <w:rsid w:val="00EE13EB"/>
    <w:rsid w:val="00EE1758"/>
    <w:rsid w:val="00EE1D8B"/>
    <w:rsid w:val="00EE1DDD"/>
    <w:rsid w:val="00EE2446"/>
    <w:rsid w:val="00EE3F36"/>
    <w:rsid w:val="00EE40A8"/>
    <w:rsid w:val="00EE4809"/>
    <w:rsid w:val="00EE4923"/>
    <w:rsid w:val="00EE4C58"/>
    <w:rsid w:val="00EE4CDA"/>
    <w:rsid w:val="00EE639D"/>
    <w:rsid w:val="00EE6873"/>
    <w:rsid w:val="00EE7189"/>
    <w:rsid w:val="00EE7331"/>
    <w:rsid w:val="00EE77F0"/>
    <w:rsid w:val="00EE7A8B"/>
    <w:rsid w:val="00EE7D3E"/>
    <w:rsid w:val="00EF01AB"/>
    <w:rsid w:val="00EF0745"/>
    <w:rsid w:val="00EF1133"/>
    <w:rsid w:val="00EF1527"/>
    <w:rsid w:val="00EF157A"/>
    <w:rsid w:val="00EF2C55"/>
    <w:rsid w:val="00EF2E10"/>
    <w:rsid w:val="00EF2FC8"/>
    <w:rsid w:val="00EF34C8"/>
    <w:rsid w:val="00EF3EDF"/>
    <w:rsid w:val="00EF425A"/>
    <w:rsid w:val="00EF44EA"/>
    <w:rsid w:val="00EF4613"/>
    <w:rsid w:val="00EF5851"/>
    <w:rsid w:val="00EF617C"/>
    <w:rsid w:val="00EF6737"/>
    <w:rsid w:val="00EF6F11"/>
    <w:rsid w:val="00EF7073"/>
    <w:rsid w:val="00EF7810"/>
    <w:rsid w:val="00EF7B93"/>
    <w:rsid w:val="00F007A3"/>
    <w:rsid w:val="00F007E9"/>
    <w:rsid w:val="00F00997"/>
    <w:rsid w:val="00F00DC5"/>
    <w:rsid w:val="00F012AF"/>
    <w:rsid w:val="00F025E5"/>
    <w:rsid w:val="00F03174"/>
    <w:rsid w:val="00F03DA3"/>
    <w:rsid w:val="00F03E47"/>
    <w:rsid w:val="00F04E2B"/>
    <w:rsid w:val="00F04E99"/>
    <w:rsid w:val="00F0508F"/>
    <w:rsid w:val="00F05E87"/>
    <w:rsid w:val="00F06776"/>
    <w:rsid w:val="00F0677D"/>
    <w:rsid w:val="00F06C9F"/>
    <w:rsid w:val="00F070C3"/>
    <w:rsid w:val="00F07AB6"/>
    <w:rsid w:val="00F107AD"/>
    <w:rsid w:val="00F10842"/>
    <w:rsid w:val="00F10E8E"/>
    <w:rsid w:val="00F111F3"/>
    <w:rsid w:val="00F11836"/>
    <w:rsid w:val="00F11D7D"/>
    <w:rsid w:val="00F11DC9"/>
    <w:rsid w:val="00F12C44"/>
    <w:rsid w:val="00F12CA0"/>
    <w:rsid w:val="00F13348"/>
    <w:rsid w:val="00F13F98"/>
    <w:rsid w:val="00F1438E"/>
    <w:rsid w:val="00F143C4"/>
    <w:rsid w:val="00F14710"/>
    <w:rsid w:val="00F14AB0"/>
    <w:rsid w:val="00F1519A"/>
    <w:rsid w:val="00F15893"/>
    <w:rsid w:val="00F159DB"/>
    <w:rsid w:val="00F159F9"/>
    <w:rsid w:val="00F16092"/>
    <w:rsid w:val="00F166E7"/>
    <w:rsid w:val="00F16DCE"/>
    <w:rsid w:val="00F17C3D"/>
    <w:rsid w:val="00F209E7"/>
    <w:rsid w:val="00F20B6C"/>
    <w:rsid w:val="00F21335"/>
    <w:rsid w:val="00F21D7C"/>
    <w:rsid w:val="00F225D7"/>
    <w:rsid w:val="00F22C41"/>
    <w:rsid w:val="00F22F6D"/>
    <w:rsid w:val="00F23295"/>
    <w:rsid w:val="00F23807"/>
    <w:rsid w:val="00F23C2E"/>
    <w:rsid w:val="00F23C3F"/>
    <w:rsid w:val="00F24D95"/>
    <w:rsid w:val="00F25536"/>
    <w:rsid w:val="00F256A2"/>
    <w:rsid w:val="00F258F5"/>
    <w:rsid w:val="00F25FB8"/>
    <w:rsid w:val="00F260FE"/>
    <w:rsid w:val="00F268CE"/>
    <w:rsid w:val="00F26953"/>
    <w:rsid w:val="00F269C7"/>
    <w:rsid w:val="00F26C99"/>
    <w:rsid w:val="00F278ED"/>
    <w:rsid w:val="00F2792D"/>
    <w:rsid w:val="00F2792F"/>
    <w:rsid w:val="00F30013"/>
    <w:rsid w:val="00F304B1"/>
    <w:rsid w:val="00F304EC"/>
    <w:rsid w:val="00F30902"/>
    <w:rsid w:val="00F311CB"/>
    <w:rsid w:val="00F3139E"/>
    <w:rsid w:val="00F31DC1"/>
    <w:rsid w:val="00F331B3"/>
    <w:rsid w:val="00F33448"/>
    <w:rsid w:val="00F3434A"/>
    <w:rsid w:val="00F352D5"/>
    <w:rsid w:val="00F35B63"/>
    <w:rsid w:val="00F35EBB"/>
    <w:rsid w:val="00F361C5"/>
    <w:rsid w:val="00F364A3"/>
    <w:rsid w:val="00F36CD9"/>
    <w:rsid w:val="00F37896"/>
    <w:rsid w:val="00F37CB7"/>
    <w:rsid w:val="00F37FDA"/>
    <w:rsid w:val="00F408A7"/>
    <w:rsid w:val="00F40FA0"/>
    <w:rsid w:val="00F41AAF"/>
    <w:rsid w:val="00F41ED3"/>
    <w:rsid w:val="00F42765"/>
    <w:rsid w:val="00F42B7F"/>
    <w:rsid w:val="00F42C80"/>
    <w:rsid w:val="00F44CB0"/>
    <w:rsid w:val="00F45052"/>
    <w:rsid w:val="00F451F8"/>
    <w:rsid w:val="00F4553D"/>
    <w:rsid w:val="00F45DC7"/>
    <w:rsid w:val="00F45FE5"/>
    <w:rsid w:val="00F4633C"/>
    <w:rsid w:val="00F4642E"/>
    <w:rsid w:val="00F46C76"/>
    <w:rsid w:val="00F46D3E"/>
    <w:rsid w:val="00F46E61"/>
    <w:rsid w:val="00F47C0F"/>
    <w:rsid w:val="00F47D59"/>
    <w:rsid w:val="00F47F30"/>
    <w:rsid w:val="00F510AB"/>
    <w:rsid w:val="00F510AD"/>
    <w:rsid w:val="00F516AD"/>
    <w:rsid w:val="00F51CDE"/>
    <w:rsid w:val="00F5283A"/>
    <w:rsid w:val="00F529AC"/>
    <w:rsid w:val="00F53034"/>
    <w:rsid w:val="00F533AF"/>
    <w:rsid w:val="00F53D07"/>
    <w:rsid w:val="00F543A8"/>
    <w:rsid w:val="00F5443A"/>
    <w:rsid w:val="00F54A9F"/>
    <w:rsid w:val="00F54F81"/>
    <w:rsid w:val="00F557A2"/>
    <w:rsid w:val="00F55928"/>
    <w:rsid w:val="00F559CB"/>
    <w:rsid w:val="00F567C1"/>
    <w:rsid w:val="00F56BA0"/>
    <w:rsid w:val="00F56E5B"/>
    <w:rsid w:val="00F57B0A"/>
    <w:rsid w:val="00F60201"/>
    <w:rsid w:val="00F60242"/>
    <w:rsid w:val="00F604B9"/>
    <w:rsid w:val="00F624D8"/>
    <w:rsid w:val="00F625C7"/>
    <w:rsid w:val="00F63137"/>
    <w:rsid w:val="00F63473"/>
    <w:rsid w:val="00F641C7"/>
    <w:rsid w:val="00F646E2"/>
    <w:rsid w:val="00F647A9"/>
    <w:rsid w:val="00F65070"/>
    <w:rsid w:val="00F65223"/>
    <w:rsid w:val="00F657B0"/>
    <w:rsid w:val="00F65B0D"/>
    <w:rsid w:val="00F65D48"/>
    <w:rsid w:val="00F65F25"/>
    <w:rsid w:val="00F66231"/>
    <w:rsid w:val="00F66319"/>
    <w:rsid w:val="00F66674"/>
    <w:rsid w:val="00F66B6C"/>
    <w:rsid w:val="00F66C1B"/>
    <w:rsid w:val="00F6710C"/>
    <w:rsid w:val="00F67B07"/>
    <w:rsid w:val="00F67CC8"/>
    <w:rsid w:val="00F70582"/>
    <w:rsid w:val="00F706FC"/>
    <w:rsid w:val="00F7074A"/>
    <w:rsid w:val="00F70882"/>
    <w:rsid w:val="00F708A2"/>
    <w:rsid w:val="00F7095C"/>
    <w:rsid w:val="00F70ABA"/>
    <w:rsid w:val="00F70BFF"/>
    <w:rsid w:val="00F71B3D"/>
    <w:rsid w:val="00F720C8"/>
    <w:rsid w:val="00F7249D"/>
    <w:rsid w:val="00F72886"/>
    <w:rsid w:val="00F73338"/>
    <w:rsid w:val="00F73508"/>
    <w:rsid w:val="00F736F9"/>
    <w:rsid w:val="00F73943"/>
    <w:rsid w:val="00F73AF3"/>
    <w:rsid w:val="00F740E4"/>
    <w:rsid w:val="00F7415E"/>
    <w:rsid w:val="00F742F4"/>
    <w:rsid w:val="00F747DE"/>
    <w:rsid w:val="00F74F2A"/>
    <w:rsid w:val="00F755F2"/>
    <w:rsid w:val="00F75612"/>
    <w:rsid w:val="00F75FAE"/>
    <w:rsid w:val="00F76556"/>
    <w:rsid w:val="00F76557"/>
    <w:rsid w:val="00F766AE"/>
    <w:rsid w:val="00F76B3F"/>
    <w:rsid w:val="00F76EA0"/>
    <w:rsid w:val="00F777C4"/>
    <w:rsid w:val="00F7798F"/>
    <w:rsid w:val="00F77A10"/>
    <w:rsid w:val="00F800E8"/>
    <w:rsid w:val="00F803C7"/>
    <w:rsid w:val="00F8086F"/>
    <w:rsid w:val="00F80C71"/>
    <w:rsid w:val="00F81B40"/>
    <w:rsid w:val="00F81B41"/>
    <w:rsid w:val="00F81FA9"/>
    <w:rsid w:val="00F824FF"/>
    <w:rsid w:val="00F8254D"/>
    <w:rsid w:val="00F831C0"/>
    <w:rsid w:val="00F83A42"/>
    <w:rsid w:val="00F83C6E"/>
    <w:rsid w:val="00F83D71"/>
    <w:rsid w:val="00F83D83"/>
    <w:rsid w:val="00F84365"/>
    <w:rsid w:val="00F84AEF"/>
    <w:rsid w:val="00F850F2"/>
    <w:rsid w:val="00F8534F"/>
    <w:rsid w:val="00F8564B"/>
    <w:rsid w:val="00F85708"/>
    <w:rsid w:val="00F86512"/>
    <w:rsid w:val="00F86888"/>
    <w:rsid w:val="00F87649"/>
    <w:rsid w:val="00F877AB"/>
    <w:rsid w:val="00F87B67"/>
    <w:rsid w:val="00F87BD1"/>
    <w:rsid w:val="00F87C8A"/>
    <w:rsid w:val="00F87EBE"/>
    <w:rsid w:val="00F90286"/>
    <w:rsid w:val="00F90BF4"/>
    <w:rsid w:val="00F90BF9"/>
    <w:rsid w:val="00F90D95"/>
    <w:rsid w:val="00F91218"/>
    <w:rsid w:val="00F914BD"/>
    <w:rsid w:val="00F919C5"/>
    <w:rsid w:val="00F91AFE"/>
    <w:rsid w:val="00F91E26"/>
    <w:rsid w:val="00F91E42"/>
    <w:rsid w:val="00F91E9A"/>
    <w:rsid w:val="00F92379"/>
    <w:rsid w:val="00F9256E"/>
    <w:rsid w:val="00F934E9"/>
    <w:rsid w:val="00F93797"/>
    <w:rsid w:val="00F93900"/>
    <w:rsid w:val="00F93BE7"/>
    <w:rsid w:val="00F946C6"/>
    <w:rsid w:val="00F947FB"/>
    <w:rsid w:val="00F94D78"/>
    <w:rsid w:val="00F94EB9"/>
    <w:rsid w:val="00F95545"/>
    <w:rsid w:val="00F95FD7"/>
    <w:rsid w:val="00F96241"/>
    <w:rsid w:val="00F9647D"/>
    <w:rsid w:val="00F965C2"/>
    <w:rsid w:val="00F96727"/>
    <w:rsid w:val="00F96E20"/>
    <w:rsid w:val="00F9757B"/>
    <w:rsid w:val="00F97D2B"/>
    <w:rsid w:val="00FA0080"/>
    <w:rsid w:val="00FA035A"/>
    <w:rsid w:val="00FA04C6"/>
    <w:rsid w:val="00FA096B"/>
    <w:rsid w:val="00FA1DEF"/>
    <w:rsid w:val="00FA21B5"/>
    <w:rsid w:val="00FA2285"/>
    <w:rsid w:val="00FA26B4"/>
    <w:rsid w:val="00FA297A"/>
    <w:rsid w:val="00FA2C64"/>
    <w:rsid w:val="00FA3B53"/>
    <w:rsid w:val="00FA3D52"/>
    <w:rsid w:val="00FA432A"/>
    <w:rsid w:val="00FA61FB"/>
    <w:rsid w:val="00FA62B8"/>
    <w:rsid w:val="00FA652A"/>
    <w:rsid w:val="00FA68E8"/>
    <w:rsid w:val="00FA6DD4"/>
    <w:rsid w:val="00FA701C"/>
    <w:rsid w:val="00FA7861"/>
    <w:rsid w:val="00FA7C1A"/>
    <w:rsid w:val="00FB0505"/>
    <w:rsid w:val="00FB05C9"/>
    <w:rsid w:val="00FB0839"/>
    <w:rsid w:val="00FB0C12"/>
    <w:rsid w:val="00FB0CC4"/>
    <w:rsid w:val="00FB0E41"/>
    <w:rsid w:val="00FB1515"/>
    <w:rsid w:val="00FB1A2B"/>
    <w:rsid w:val="00FB3237"/>
    <w:rsid w:val="00FB34BC"/>
    <w:rsid w:val="00FB3B6F"/>
    <w:rsid w:val="00FB3ED3"/>
    <w:rsid w:val="00FB40E8"/>
    <w:rsid w:val="00FB445E"/>
    <w:rsid w:val="00FB4677"/>
    <w:rsid w:val="00FB49BA"/>
    <w:rsid w:val="00FB541F"/>
    <w:rsid w:val="00FB621E"/>
    <w:rsid w:val="00FB65AE"/>
    <w:rsid w:val="00FB6707"/>
    <w:rsid w:val="00FB6816"/>
    <w:rsid w:val="00FB6A17"/>
    <w:rsid w:val="00FB6BAE"/>
    <w:rsid w:val="00FB6E1A"/>
    <w:rsid w:val="00FB6FE6"/>
    <w:rsid w:val="00FB7ADC"/>
    <w:rsid w:val="00FB7F53"/>
    <w:rsid w:val="00FC0073"/>
    <w:rsid w:val="00FC0299"/>
    <w:rsid w:val="00FC0491"/>
    <w:rsid w:val="00FC07EC"/>
    <w:rsid w:val="00FC09F6"/>
    <w:rsid w:val="00FC0C07"/>
    <w:rsid w:val="00FC0DF1"/>
    <w:rsid w:val="00FC10A0"/>
    <w:rsid w:val="00FC147E"/>
    <w:rsid w:val="00FC177F"/>
    <w:rsid w:val="00FC1ADB"/>
    <w:rsid w:val="00FC1C9A"/>
    <w:rsid w:val="00FC2072"/>
    <w:rsid w:val="00FC25B4"/>
    <w:rsid w:val="00FC27AC"/>
    <w:rsid w:val="00FC2B61"/>
    <w:rsid w:val="00FC3012"/>
    <w:rsid w:val="00FC3233"/>
    <w:rsid w:val="00FC38DC"/>
    <w:rsid w:val="00FC3AD7"/>
    <w:rsid w:val="00FC3E47"/>
    <w:rsid w:val="00FC530D"/>
    <w:rsid w:val="00FC564E"/>
    <w:rsid w:val="00FC56AA"/>
    <w:rsid w:val="00FC57C8"/>
    <w:rsid w:val="00FC61D2"/>
    <w:rsid w:val="00FC6C7E"/>
    <w:rsid w:val="00FC6F95"/>
    <w:rsid w:val="00FC7326"/>
    <w:rsid w:val="00FC7741"/>
    <w:rsid w:val="00FC7F16"/>
    <w:rsid w:val="00FC7F4A"/>
    <w:rsid w:val="00FD0032"/>
    <w:rsid w:val="00FD08B6"/>
    <w:rsid w:val="00FD08C6"/>
    <w:rsid w:val="00FD09A5"/>
    <w:rsid w:val="00FD0ADA"/>
    <w:rsid w:val="00FD1064"/>
    <w:rsid w:val="00FD1312"/>
    <w:rsid w:val="00FD1457"/>
    <w:rsid w:val="00FD1940"/>
    <w:rsid w:val="00FD1A2D"/>
    <w:rsid w:val="00FD37D6"/>
    <w:rsid w:val="00FD3CB7"/>
    <w:rsid w:val="00FD4A9F"/>
    <w:rsid w:val="00FD4BE5"/>
    <w:rsid w:val="00FD4CB5"/>
    <w:rsid w:val="00FD5227"/>
    <w:rsid w:val="00FD5465"/>
    <w:rsid w:val="00FD5477"/>
    <w:rsid w:val="00FD582A"/>
    <w:rsid w:val="00FD5859"/>
    <w:rsid w:val="00FD5A46"/>
    <w:rsid w:val="00FD5A93"/>
    <w:rsid w:val="00FD61F2"/>
    <w:rsid w:val="00FD6D4D"/>
    <w:rsid w:val="00FD6FC0"/>
    <w:rsid w:val="00FD70F9"/>
    <w:rsid w:val="00FD716C"/>
    <w:rsid w:val="00FD7195"/>
    <w:rsid w:val="00FD74E2"/>
    <w:rsid w:val="00FD79DF"/>
    <w:rsid w:val="00FE159B"/>
    <w:rsid w:val="00FE1910"/>
    <w:rsid w:val="00FE1927"/>
    <w:rsid w:val="00FE1952"/>
    <w:rsid w:val="00FE285A"/>
    <w:rsid w:val="00FE2B10"/>
    <w:rsid w:val="00FE2F98"/>
    <w:rsid w:val="00FE3B5E"/>
    <w:rsid w:val="00FE3C14"/>
    <w:rsid w:val="00FE3D6A"/>
    <w:rsid w:val="00FE48CF"/>
    <w:rsid w:val="00FE4EF4"/>
    <w:rsid w:val="00FE504D"/>
    <w:rsid w:val="00FE5526"/>
    <w:rsid w:val="00FE5766"/>
    <w:rsid w:val="00FE59BC"/>
    <w:rsid w:val="00FE59F7"/>
    <w:rsid w:val="00FE5A0F"/>
    <w:rsid w:val="00FE5E54"/>
    <w:rsid w:val="00FE60E5"/>
    <w:rsid w:val="00FE68BC"/>
    <w:rsid w:val="00FE6982"/>
    <w:rsid w:val="00FE6E93"/>
    <w:rsid w:val="00FE6F23"/>
    <w:rsid w:val="00FE71F0"/>
    <w:rsid w:val="00FE7F23"/>
    <w:rsid w:val="00FF04FC"/>
    <w:rsid w:val="00FF0EA5"/>
    <w:rsid w:val="00FF13D7"/>
    <w:rsid w:val="00FF19E7"/>
    <w:rsid w:val="00FF217B"/>
    <w:rsid w:val="00FF2AD3"/>
    <w:rsid w:val="00FF2BFD"/>
    <w:rsid w:val="00FF2CEB"/>
    <w:rsid w:val="00FF2F85"/>
    <w:rsid w:val="00FF370A"/>
    <w:rsid w:val="00FF3A65"/>
    <w:rsid w:val="00FF4551"/>
    <w:rsid w:val="00FF5235"/>
    <w:rsid w:val="00FF57DD"/>
    <w:rsid w:val="00FF5A02"/>
    <w:rsid w:val="00FF6274"/>
    <w:rsid w:val="00FF62F7"/>
    <w:rsid w:val="00FF6351"/>
    <w:rsid w:val="00FF671E"/>
    <w:rsid w:val="00FF682E"/>
    <w:rsid w:val="00FF6F3C"/>
    <w:rsid w:val="00FF76D5"/>
    <w:rsid w:val="01F4314D"/>
    <w:rsid w:val="02B83A8B"/>
    <w:rsid w:val="04F15CAC"/>
    <w:rsid w:val="06E01941"/>
    <w:rsid w:val="10EA6D0E"/>
    <w:rsid w:val="153E5D02"/>
    <w:rsid w:val="159D185F"/>
    <w:rsid w:val="18E01643"/>
    <w:rsid w:val="1C6A1AC3"/>
    <w:rsid w:val="1D13437B"/>
    <w:rsid w:val="1D807F04"/>
    <w:rsid w:val="1F6E70BC"/>
    <w:rsid w:val="25CA51C0"/>
    <w:rsid w:val="2EC267EC"/>
    <w:rsid w:val="344422A6"/>
    <w:rsid w:val="35151297"/>
    <w:rsid w:val="39272565"/>
    <w:rsid w:val="3AD65514"/>
    <w:rsid w:val="3BC66516"/>
    <w:rsid w:val="3F04716B"/>
    <w:rsid w:val="46177502"/>
    <w:rsid w:val="4B420F57"/>
    <w:rsid w:val="56AA353D"/>
    <w:rsid w:val="56CC14F3"/>
    <w:rsid w:val="65F12FD0"/>
    <w:rsid w:val="66746EAA"/>
    <w:rsid w:val="6BD27FD3"/>
    <w:rsid w:val="6DC505F1"/>
    <w:rsid w:val="6E541286"/>
    <w:rsid w:val="727F63CD"/>
    <w:rsid w:val="74F42507"/>
    <w:rsid w:val="765069A7"/>
    <w:rsid w:val="76820167"/>
    <w:rsid w:val="7EA44E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unhideWhenUsed="0" w:uiPriority="9" w:semiHidden="0" w:name="heading 5"/>
    <w:lsdException w:qFormat="1" w:unhideWhenUsed="0" w:uiPriority="9" w:semiHidden="0" w:name="heading 6"/>
    <w:lsdException w:unhideWhenUsed="0" w:uiPriority="9" w:semiHidden="0" w:name="heading 7"/>
    <w:lsdException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0"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qFormat="1" w:uiPriority="99" w:semiHidden="0" w:name="table of figures"/>
    <w:lsdException w:uiPriority="99" w:name="envelope address"/>
    <w:lsdException w:uiPriority="99" w:name="envelope return"/>
    <w:lsdException w:qFormat="1" w:uiPriority="0" w:semiHidden="0"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qFormat="1"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libri Light" w:hAnsi="Calibri Light" w:eastAsia="宋体" w:cs="Times New Roman"/>
      <w:lang w:val="en-US" w:eastAsia="zh-CN" w:bidi="ar-SA"/>
    </w:rPr>
  </w:style>
  <w:style w:type="paragraph" w:styleId="2">
    <w:name w:val="heading 1"/>
    <w:basedOn w:val="1"/>
    <w:next w:val="1"/>
    <w:link w:val="43"/>
    <w:qFormat/>
    <w:uiPriority w:val="9"/>
    <w:pPr>
      <w:pBdr>
        <w:top w:val="single" w:color="0F6FC6" w:sz="24" w:space="0"/>
        <w:left w:val="single" w:color="0F6FC6" w:sz="24" w:space="0"/>
        <w:bottom w:val="single" w:color="0F6FC6" w:sz="24" w:space="0"/>
        <w:right w:val="single" w:color="0F6FC6" w:sz="24" w:space="0"/>
      </w:pBdr>
      <w:shd w:val="clear" w:color="auto" w:fill="0F6FC6"/>
      <w:outlineLvl w:val="0"/>
    </w:pPr>
    <w:rPr>
      <w:caps/>
      <w:color w:val="FFFFFF"/>
      <w:spacing w:val="15"/>
      <w:sz w:val="22"/>
      <w:szCs w:val="22"/>
      <w:lang w:val="zh-CN"/>
    </w:rPr>
  </w:style>
  <w:style w:type="paragraph" w:styleId="3">
    <w:name w:val="heading 2"/>
    <w:basedOn w:val="1"/>
    <w:next w:val="1"/>
    <w:link w:val="44"/>
    <w:qFormat/>
    <w:uiPriority w:val="9"/>
    <w:pPr>
      <w:pBdr>
        <w:top w:val="single" w:color="C7E2FA" w:sz="24" w:space="0"/>
        <w:left w:val="single" w:color="C7E2FA" w:sz="24" w:space="0"/>
        <w:bottom w:val="single" w:color="C7E2FA" w:sz="24" w:space="0"/>
        <w:right w:val="single" w:color="C7E2FA" w:sz="24" w:space="0"/>
      </w:pBdr>
      <w:shd w:val="clear" w:color="auto" w:fill="C7E2FA"/>
      <w:outlineLvl w:val="1"/>
    </w:pPr>
    <w:rPr>
      <w:caps/>
      <w:spacing w:val="15"/>
      <w:lang w:val="zh-CN"/>
    </w:rPr>
  </w:style>
  <w:style w:type="paragraph" w:styleId="4">
    <w:name w:val="heading 3"/>
    <w:basedOn w:val="1"/>
    <w:next w:val="1"/>
    <w:link w:val="45"/>
    <w:qFormat/>
    <w:uiPriority w:val="9"/>
    <w:pPr>
      <w:pBdr>
        <w:top w:val="single" w:color="0F6FC6" w:sz="6" w:space="2"/>
      </w:pBdr>
      <w:spacing w:before="300"/>
      <w:outlineLvl w:val="2"/>
    </w:pPr>
    <w:rPr>
      <w:caps/>
      <w:color w:val="073662"/>
      <w:spacing w:val="15"/>
      <w:lang w:val="zh-CN"/>
    </w:rPr>
  </w:style>
  <w:style w:type="paragraph" w:styleId="5">
    <w:name w:val="heading 4"/>
    <w:basedOn w:val="1"/>
    <w:next w:val="1"/>
    <w:link w:val="46"/>
    <w:qFormat/>
    <w:uiPriority w:val="9"/>
    <w:pPr>
      <w:pBdr>
        <w:top w:val="dotted" w:color="0F6FC6" w:sz="6" w:space="2"/>
      </w:pBdr>
      <w:spacing w:before="200"/>
      <w:outlineLvl w:val="3"/>
    </w:pPr>
    <w:rPr>
      <w:caps/>
      <w:color w:val="0B5294"/>
      <w:spacing w:val="10"/>
      <w:lang w:val="zh-CN"/>
    </w:rPr>
  </w:style>
  <w:style w:type="paragraph" w:styleId="6">
    <w:name w:val="heading 5"/>
    <w:basedOn w:val="1"/>
    <w:next w:val="1"/>
    <w:link w:val="47"/>
    <w:uiPriority w:val="9"/>
    <w:pPr>
      <w:pBdr>
        <w:bottom w:val="single" w:color="0F6FC6" w:sz="6" w:space="1"/>
      </w:pBdr>
      <w:spacing w:before="200"/>
      <w:outlineLvl w:val="4"/>
    </w:pPr>
    <w:rPr>
      <w:caps/>
      <w:color w:val="0B5294"/>
      <w:spacing w:val="10"/>
      <w:lang w:val="zh-CN"/>
    </w:rPr>
  </w:style>
  <w:style w:type="paragraph" w:styleId="7">
    <w:name w:val="heading 6"/>
    <w:basedOn w:val="1"/>
    <w:next w:val="1"/>
    <w:link w:val="48"/>
    <w:qFormat/>
    <w:uiPriority w:val="9"/>
    <w:pPr>
      <w:pBdr>
        <w:bottom w:val="dotted" w:color="0F6FC6" w:sz="6" w:space="1"/>
      </w:pBdr>
      <w:spacing w:before="200"/>
      <w:outlineLvl w:val="5"/>
    </w:pPr>
    <w:rPr>
      <w:caps/>
      <w:color w:val="0B5294"/>
      <w:spacing w:val="10"/>
      <w:lang w:val="zh-CN"/>
    </w:rPr>
  </w:style>
  <w:style w:type="paragraph" w:styleId="8">
    <w:name w:val="heading 7"/>
    <w:basedOn w:val="1"/>
    <w:next w:val="1"/>
    <w:link w:val="49"/>
    <w:uiPriority w:val="9"/>
    <w:pPr>
      <w:spacing w:before="200"/>
      <w:outlineLvl w:val="6"/>
    </w:pPr>
    <w:rPr>
      <w:caps/>
      <w:color w:val="0B5294"/>
      <w:spacing w:val="10"/>
      <w:lang w:val="zh-CN"/>
    </w:rPr>
  </w:style>
  <w:style w:type="paragraph" w:styleId="9">
    <w:name w:val="heading 8"/>
    <w:basedOn w:val="1"/>
    <w:next w:val="1"/>
    <w:link w:val="50"/>
    <w:uiPriority w:val="9"/>
    <w:pPr>
      <w:spacing w:before="200"/>
      <w:outlineLvl w:val="7"/>
    </w:pPr>
    <w:rPr>
      <w:caps/>
      <w:spacing w:val="10"/>
      <w:sz w:val="18"/>
      <w:szCs w:val="18"/>
      <w:lang w:val="zh-CN"/>
    </w:rPr>
  </w:style>
  <w:style w:type="paragraph" w:styleId="10">
    <w:name w:val="heading 9"/>
    <w:basedOn w:val="1"/>
    <w:next w:val="1"/>
    <w:link w:val="51"/>
    <w:qFormat/>
    <w:uiPriority w:val="9"/>
    <w:pPr>
      <w:spacing w:before="200"/>
      <w:outlineLvl w:val="8"/>
    </w:pPr>
    <w:rPr>
      <w:i/>
      <w:iCs/>
      <w:caps/>
      <w:spacing w:val="10"/>
      <w:sz w:val="18"/>
      <w:szCs w:val="18"/>
      <w:lang w:val="zh-CN"/>
    </w:rPr>
  </w:style>
  <w:style w:type="character" w:default="1" w:styleId="36">
    <w:name w:val="Default Paragraph Font"/>
    <w:semiHidden/>
    <w:unhideWhenUsed/>
    <w:uiPriority w:val="1"/>
  </w:style>
  <w:style w:type="table" w:default="1" w:styleId="32">
    <w:name w:val="Normal Table"/>
    <w:semiHidden/>
    <w:unhideWhenUsed/>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1200"/>
    </w:pPr>
    <w:rPr>
      <w:rFonts w:asciiTheme="minorHAnsi" w:hAnsiTheme="minorHAnsi"/>
      <w:sz w:val="18"/>
      <w:szCs w:val="18"/>
    </w:rPr>
  </w:style>
  <w:style w:type="paragraph" w:styleId="12">
    <w:name w:val="caption"/>
    <w:basedOn w:val="1"/>
    <w:next w:val="1"/>
    <w:link w:val="54"/>
    <w:qFormat/>
    <w:uiPriority w:val="0"/>
    <w:pPr>
      <w:spacing w:before="50" w:beforeLines="50" w:after="50" w:afterLines="50"/>
      <w:jc w:val="center"/>
    </w:pPr>
    <w:rPr>
      <w:rFonts w:ascii="Times New Roman" w:hAnsi="Times New Roman" w:eastAsia="黑体"/>
      <w:b/>
      <w:bCs/>
      <w:sz w:val="21"/>
      <w:szCs w:val="16"/>
    </w:rPr>
  </w:style>
  <w:style w:type="paragraph" w:styleId="13">
    <w:name w:val="Document Map"/>
    <w:basedOn w:val="1"/>
    <w:link w:val="55"/>
    <w:unhideWhenUsed/>
    <w:qFormat/>
    <w:uiPriority w:val="99"/>
    <w:rPr>
      <w:rFonts w:ascii="宋体"/>
      <w:sz w:val="18"/>
      <w:szCs w:val="18"/>
      <w:lang w:val="zh-CN"/>
    </w:rPr>
  </w:style>
  <w:style w:type="paragraph" w:styleId="14">
    <w:name w:val="annotation text"/>
    <w:basedOn w:val="1"/>
    <w:link w:val="52"/>
    <w:unhideWhenUsed/>
    <w:qFormat/>
    <w:uiPriority w:val="99"/>
  </w:style>
  <w:style w:type="paragraph" w:styleId="15">
    <w:name w:val="toc 5"/>
    <w:basedOn w:val="1"/>
    <w:next w:val="1"/>
    <w:unhideWhenUsed/>
    <w:qFormat/>
    <w:uiPriority w:val="39"/>
    <w:pPr>
      <w:ind w:left="800"/>
    </w:pPr>
    <w:rPr>
      <w:rFonts w:asciiTheme="minorHAnsi" w:hAnsiTheme="minorHAnsi"/>
      <w:sz w:val="18"/>
      <w:szCs w:val="18"/>
    </w:rPr>
  </w:style>
  <w:style w:type="paragraph" w:styleId="16">
    <w:name w:val="toc 3"/>
    <w:basedOn w:val="1"/>
    <w:next w:val="1"/>
    <w:unhideWhenUsed/>
    <w:qFormat/>
    <w:uiPriority w:val="39"/>
    <w:pPr>
      <w:spacing w:line="360" w:lineRule="auto"/>
      <w:ind w:firstLine="400" w:firstLineChars="400"/>
    </w:pPr>
    <w:rPr>
      <w:rFonts w:ascii="Times New Roman" w:hAnsi="Times New Roman"/>
      <w:iCs/>
      <w:color w:val="4472C4" w:themeColor="accent1"/>
      <w:sz w:val="24"/>
      <w14:textFill>
        <w14:solidFill>
          <w14:schemeClr w14:val="accent1"/>
        </w14:solidFill>
      </w14:textFill>
    </w:rPr>
  </w:style>
  <w:style w:type="paragraph" w:styleId="17">
    <w:name w:val="toc 8"/>
    <w:basedOn w:val="1"/>
    <w:next w:val="1"/>
    <w:unhideWhenUsed/>
    <w:qFormat/>
    <w:uiPriority w:val="39"/>
    <w:pPr>
      <w:ind w:left="1400"/>
    </w:pPr>
    <w:rPr>
      <w:rFonts w:asciiTheme="minorHAnsi" w:hAnsiTheme="minorHAnsi"/>
      <w:sz w:val="18"/>
      <w:szCs w:val="18"/>
    </w:rPr>
  </w:style>
  <w:style w:type="paragraph" w:styleId="18">
    <w:name w:val="Balloon Text"/>
    <w:basedOn w:val="1"/>
    <w:link w:val="56"/>
    <w:unhideWhenUsed/>
    <w:qFormat/>
    <w:uiPriority w:val="99"/>
    <w:rPr>
      <w:sz w:val="18"/>
      <w:szCs w:val="18"/>
      <w:lang w:val="zh-CN"/>
    </w:rPr>
  </w:style>
  <w:style w:type="paragraph" w:styleId="19">
    <w:name w:val="footer"/>
    <w:basedOn w:val="1"/>
    <w:link w:val="57"/>
    <w:unhideWhenUsed/>
    <w:qFormat/>
    <w:uiPriority w:val="99"/>
    <w:pPr>
      <w:tabs>
        <w:tab w:val="center" w:pos="4153"/>
        <w:tab w:val="right" w:pos="8306"/>
      </w:tabs>
      <w:snapToGrid w:val="0"/>
    </w:pPr>
    <w:rPr>
      <w:sz w:val="18"/>
      <w:szCs w:val="18"/>
      <w:lang w:val="zh-CN"/>
    </w:rPr>
  </w:style>
  <w:style w:type="paragraph" w:styleId="20">
    <w:name w:val="header"/>
    <w:basedOn w:val="1"/>
    <w:link w:val="58"/>
    <w:unhideWhenUsed/>
    <w:qFormat/>
    <w:uiPriority w:val="99"/>
    <w:pPr>
      <w:pBdr>
        <w:bottom w:val="single" w:color="auto" w:sz="6" w:space="1"/>
      </w:pBdr>
      <w:tabs>
        <w:tab w:val="center" w:pos="4153"/>
        <w:tab w:val="right" w:pos="8306"/>
      </w:tabs>
      <w:snapToGrid w:val="0"/>
      <w:jc w:val="center"/>
    </w:pPr>
    <w:rPr>
      <w:sz w:val="18"/>
      <w:szCs w:val="18"/>
      <w:lang w:val="zh-CN"/>
    </w:rPr>
  </w:style>
  <w:style w:type="paragraph" w:styleId="21">
    <w:name w:val="toc 1"/>
    <w:basedOn w:val="1"/>
    <w:next w:val="1"/>
    <w:unhideWhenUsed/>
    <w:qFormat/>
    <w:uiPriority w:val="39"/>
    <w:pPr>
      <w:spacing w:line="360" w:lineRule="auto"/>
    </w:pPr>
    <w:rPr>
      <w:rFonts w:ascii="Times New Roman" w:hAnsi="Times New Roman" w:eastAsiaTheme="minorEastAsia"/>
      <w:b/>
      <w:bCs/>
      <w:caps/>
      <w:color w:val="4472C4" w:themeColor="accent1"/>
      <w:sz w:val="28"/>
      <w14:textFill>
        <w14:solidFill>
          <w14:schemeClr w14:val="accent1"/>
        </w14:solidFill>
      </w14:textFill>
    </w:rPr>
  </w:style>
  <w:style w:type="paragraph" w:styleId="22">
    <w:name w:val="toc 4"/>
    <w:basedOn w:val="1"/>
    <w:next w:val="1"/>
    <w:unhideWhenUsed/>
    <w:qFormat/>
    <w:uiPriority w:val="39"/>
    <w:pPr>
      <w:ind w:left="600"/>
    </w:pPr>
    <w:rPr>
      <w:rFonts w:asciiTheme="minorHAnsi" w:hAnsiTheme="minorHAnsi"/>
      <w:sz w:val="18"/>
      <w:szCs w:val="18"/>
    </w:rPr>
  </w:style>
  <w:style w:type="paragraph" w:styleId="23">
    <w:name w:val="Subtitle"/>
    <w:basedOn w:val="1"/>
    <w:next w:val="1"/>
    <w:link w:val="59"/>
    <w:qFormat/>
    <w:uiPriority w:val="11"/>
    <w:pPr>
      <w:spacing w:after="500"/>
    </w:pPr>
    <w:rPr>
      <w:caps/>
      <w:color w:val="595959"/>
      <w:spacing w:val="10"/>
      <w:sz w:val="21"/>
      <w:szCs w:val="21"/>
      <w:lang w:val="zh-CN"/>
    </w:rPr>
  </w:style>
  <w:style w:type="paragraph" w:styleId="24">
    <w:name w:val="footnote text"/>
    <w:basedOn w:val="1"/>
    <w:link w:val="60"/>
    <w:unhideWhenUsed/>
    <w:qFormat/>
    <w:uiPriority w:val="0"/>
    <w:pPr>
      <w:snapToGrid w:val="0"/>
    </w:pPr>
    <w:rPr>
      <w:sz w:val="18"/>
      <w:szCs w:val="18"/>
      <w:lang w:val="zh-CN"/>
    </w:rPr>
  </w:style>
  <w:style w:type="paragraph" w:styleId="25">
    <w:name w:val="toc 6"/>
    <w:basedOn w:val="1"/>
    <w:next w:val="1"/>
    <w:unhideWhenUsed/>
    <w:qFormat/>
    <w:uiPriority w:val="39"/>
    <w:pPr>
      <w:ind w:left="1000"/>
    </w:pPr>
    <w:rPr>
      <w:rFonts w:asciiTheme="minorHAnsi" w:hAnsiTheme="minorHAnsi"/>
      <w:sz w:val="18"/>
      <w:szCs w:val="18"/>
    </w:rPr>
  </w:style>
  <w:style w:type="paragraph" w:styleId="26">
    <w:name w:val="table of figures"/>
    <w:basedOn w:val="1"/>
    <w:next w:val="1"/>
    <w:unhideWhenUsed/>
    <w:qFormat/>
    <w:uiPriority w:val="99"/>
    <w:pPr>
      <w:spacing w:line="360" w:lineRule="auto"/>
      <w:ind w:left="400" w:leftChars="200" w:hanging="200" w:hangingChars="200"/>
    </w:pPr>
    <w:rPr>
      <w:rFonts w:ascii="Times New Roman" w:hAnsi="Times New Roman"/>
      <w:color w:val="4472C4" w:themeColor="accent1"/>
      <w:sz w:val="24"/>
      <w14:textFill>
        <w14:solidFill>
          <w14:schemeClr w14:val="accent1"/>
        </w14:solidFill>
      </w14:textFill>
    </w:rPr>
  </w:style>
  <w:style w:type="paragraph" w:styleId="27">
    <w:name w:val="toc 2"/>
    <w:basedOn w:val="1"/>
    <w:next w:val="1"/>
    <w:unhideWhenUsed/>
    <w:qFormat/>
    <w:uiPriority w:val="39"/>
    <w:pPr>
      <w:spacing w:line="360" w:lineRule="auto"/>
      <w:ind w:firstLine="200" w:firstLineChars="200"/>
    </w:pPr>
    <w:rPr>
      <w:rFonts w:ascii="Times New Roman" w:hAnsi="Times New Roman"/>
      <w:smallCaps/>
      <w:color w:val="4472C4" w:themeColor="accent1"/>
      <w:sz w:val="24"/>
      <w14:textFill>
        <w14:solidFill>
          <w14:schemeClr w14:val="accent1"/>
        </w14:solidFill>
      </w14:textFill>
    </w:rPr>
  </w:style>
  <w:style w:type="paragraph" w:styleId="28">
    <w:name w:val="toc 9"/>
    <w:basedOn w:val="1"/>
    <w:next w:val="1"/>
    <w:unhideWhenUsed/>
    <w:qFormat/>
    <w:uiPriority w:val="39"/>
    <w:pPr>
      <w:ind w:left="1600"/>
    </w:pPr>
    <w:rPr>
      <w:rFonts w:asciiTheme="minorHAnsi" w:hAnsiTheme="minorHAnsi"/>
      <w:sz w:val="18"/>
      <w:szCs w:val="18"/>
    </w:rPr>
  </w:style>
  <w:style w:type="paragraph" w:styleId="29">
    <w:name w:val="Normal (Web)"/>
    <w:basedOn w:val="1"/>
    <w:unhideWhenUsed/>
    <w:qFormat/>
    <w:uiPriority w:val="99"/>
    <w:pPr>
      <w:spacing w:beforeAutospacing="1" w:after="100" w:afterAutospacing="1"/>
    </w:pPr>
    <w:rPr>
      <w:rFonts w:ascii="宋体" w:hAnsi="宋体" w:cs="宋体"/>
      <w:sz w:val="24"/>
      <w:szCs w:val="24"/>
    </w:rPr>
  </w:style>
  <w:style w:type="paragraph" w:styleId="30">
    <w:name w:val="Title"/>
    <w:basedOn w:val="1"/>
    <w:next w:val="1"/>
    <w:link w:val="61"/>
    <w:qFormat/>
    <w:uiPriority w:val="10"/>
    <w:rPr>
      <w:caps/>
      <w:color w:val="0F6FC6"/>
      <w:spacing w:val="10"/>
      <w:sz w:val="52"/>
      <w:szCs w:val="52"/>
      <w:lang w:val="zh-CN"/>
    </w:rPr>
  </w:style>
  <w:style w:type="paragraph" w:styleId="31">
    <w:name w:val="annotation subject"/>
    <w:basedOn w:val="14"/>
    <w:next w:val="14"/>
    <w:link w:val="53"/>
    <w:unhideWhenUsed/>
    <w:qFormat/>
    <w:uiPriority w:val="99"/>
    <w:rPr>
      <w:b/>
      <w:bCs/>
      <w:lang w:val="zh-CN"/>
    </w:rPr>
  </w:style>
  <w:style w:type="table" w:styleId="33">
    <w:name w:val="Table Grid"/>
    <w:basedOn w:val="3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4">
    <w:name w:val="Table Theme"/>
    <w:basedOn w:val="32"/>
    <w:qFormat/>
    <w:uiPriority w:val="0"/>
    <w:pPr>
      <w:widowControl w:val="0"/>
      <w:spacing w:before="100" w:beforeAutospacing="1" w:after="100" w:afterAutospacing="1" w:line="360" w:lineRule="auto"/>
      <w:ind w:firstLine="200" w:firstLineChars="200"/>
      <w:jc w:val="center"/>
    </w:p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tblStylePr w:type="firstRow">
      <w:rPr>
        <w:b/>
      </w:rPr>
      <w:tblPr/>
      <w:trPr>
        <w:tblHeader/>
      </w:trPr>
      <w:tcPr>
        <w:shd w:val="clear" w:color="auto" w:fill="99CCFF"/>
      </w:tcPr>
    </w:tblStylePr>
  </w:style>
  <w:style w:type="table" w:styleId="35">
    <w:name w:val="Light Shading Accent 5"/>
    <w:basedOn w:val="32"/>
    <w:qFormat/>
    <w:uiPriority w:val="60"/>
    <w:rPr>
      <w:rFonts w:ascii="Calibri" w:hAnsi="Calibri"/>
      <w:color w:val="31849B"/>
    </w:rPr>
    <w:tblPr>
      <w:tblBorders>
        <w:top w:val="single" w:color="4BACC6" w:sz="8" w:space="0"/>
        <w:bottom w:val="single" w:color="4BACC6" w:sz="8" w:space="0"/>
      </w:tblBorders>
    </w:tblPr>
    <w:tblStylePr w:type="firstRow">
      <w:pPr>
        <w:spacing w:before="0" w:after="0" w:line="240" w:lineRule="auto"/>
      </w:pPr>
      <w:rPr>
        <w:b/>
        <w:bCs/>
      </w:rPr>
      <w:tblPr/>
      <w:tcPr>
        <w:tcBorders>
          <w:top w:val="single" w:color="4BACC6" w:sz="8" w:space="0"/>
          <w:left w:val="nil"/>
          <w:bottom w:val="single" w:color="4BACC6" w:sz="8" w:space="0"/>
          <w:right w:val="nil"/>
          <w:insideH w:val="nil"/>
          <w:insideV w:val="nil"/>
        </w:tcBorders>
      </w:tcPr>
    </w:tblStylePr>
    <w:tblStylePr w:type="lastRow">
      <w:pPr>
        <w:spacing w:before="0" w:after="0" w:line="240" w:lineRule="auto"/>
      </w:pPr>
      <w:rPr>
        <w:b/>
        <w:bCs/>
      </w:rPr>
      <w:tblPr/>
      <w:tcPr>
        <w:tcBorders>
          <w:top w:val="single" w:color="4BACC6" w:sz="8" w:space="0"/>
          <w:left w:val="nil"/>
          <w:bottom w:val="single" w:color="4BACC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37">
    <w:name w:val="Strong"/>
    <w:qFormat/>
    <w:uiPriority w:val="22"/>
    <w:rPr>
      <w:b/>
      <w:bCs/>
    </w:rPr>
  </w:style>
  <w:style w:type="character" w:styleId="38">
    <w:name w:val="FollowedHyperlink"/>
    <w:basedOn w:val="36"/>
    <w:semiHidden/>
    <w:unhideWhenUsed/>
    <w:qFormat/>
    <w:uiPriority w:val="99"/>
    <w:rPr>
      <w:color w:val="954F72" w:themeColor="followedHyperlink"/>
      <w:u w:val="single"/>
      <w14:textFill>
        <w14:solidFill>
          <w14:schemeClr w14:val="folHlink"/>
        </w14:solidFill>
      </w14:textFill>
    </w:rPr>
  </w:style>
  <w:style w:type="character" w:styleId="39">
    <w:name w:val="Emphasis"/>
    <w:qFormat/>
    <w:uiPriority w:val="20"/>
    <w:rPr>
      <w:caps/>
      <w:color w:val="073662"/>
      <w:spacing w:val="5"/>
    </w:rPr>
  </w:style>
  <w:style w:type="character" w:styleId="40">
    <w:name w:val="Hyperlink"/>
    <w:unhideWhenUsed/>
    <w:qFormat/>
    <w:uiPriority w:val="99"/>
    <w:rPr>
      <w:color w:val="0000FF"/>
      <w:u w:val="single"/>
    </w:rPr>
  </w:style>
  <w:style w:type="character" w:styleId="41">
    <w:name w:val="annotation reference"/>
    <w:unhideWhenUsed/>
    <w:qFormat/>
    <w:uiPriority w:val="99"/>
    <w:rPr>
      <w:sz w:val="21"/>
      <w:szCs w:val="21"/>
    </w:rPr>
  </w:style>
  <w:style w:type="character" w:styleId="42">
    <w:name w:val="footnote reference"/>
    <w:unhideWhenUsed/>
    <w:qFormat/>
    <w:uiPriority w:val="0"/>
    <w:rPr>
      <w:vertAlign w:val="superscript"/>
    </w:rPr>
  </w:style>
  <w:style w:type="character" w:customStyle="1" w:styleId="43">
    <w:name w:val="标题 1 字符"/>
    <w:link w:val="2"/>
    <w:qFormat/>
    <w:uiPriority w:val="9"/>
    <w:rPr>
      <w:caps/>
      <w:color w:val="FFFFFF"/>
      <w:spacing w:val="15"/>
      <w:sz w:val="22"/>
      <w:szCs w:val="22"/>
      <w:shd w:val="clear" w:color="auto" w:fill="0F6FC6"/>
    </w:rPr>
  </w:style>
  <w:style w:type="character" w:customStyle="1" w:styleId="44">
    <w:name w:val="标题 2 字符"/>
    <w:link w:val="3"/>
    <w:qFormat/>
    <w:uiPriority w:val="9"/>
    <w:rPr>
      <w:caps/>
      <w:spacing w:val="15"/>
      <w:shd w:val="clear" w:color="auto" w:fill="C7E2FA"/>
    </w:rPr>
  </w:style>
  <w:style w:type="character" w:customStyle="1" w:styleId="45">
    <w:name w:val="标题 3 字符"/>
    <w:link w:val="4"/>
    <w:qFormat/>
    <w:uiPriority w:val="9"/>
    <w:rPr>
      <w:caps/>
      <w:color w:val="073662"/>
      <w:spacing w:val="15"/>
    </w:rPr>
  </w:style>
  <w:style w:type="character" w:customStyle="1" w:styleId="46">
    <w:name w:val="标题 4 字符"/>
    <w:link w:val="5"/>
    <w:qFormat/>
    <w:uiPriority w:val="9"/>
    <w:rPr>
      <w:caps/>
      <w:color w:val="0B5294"/>
      <w:spacing w:val="10"/>
    </w:rPr>
  </w:style>
  <w:style w:type="character" w:customStyle="1" w:styleId="47">
    <w:name w:val="标题 5 字符"/>
    <w:link w:val="6"/>
    <w:qFormat/>
    <w:uiPriority w:val="9"/>
    <w:rPr>
      <w:caps/>
      <w:color w:val="0B5294"/>
      <w:spacing w:val="10"/>
    </w:rPr>
  </w:style>
  <w:style w:type="character" w:customStyle="1" w:styleId="48">
    <w:name w:val="标题 6 字符"/>
    <w:link w:val="7"/>
    <w:semiHidden/>
    <w:qFormat/>
    <w:uiPriority w:val="9"/>
    <w:rPr>
      <w:caps/>
      <w:color w:val="0B5294"/>
      <w:spacing w:val="10"/>
    </w:rPr>
  </w:style>
  <w:style w:type="character" w:customStyle="1" w:styleId="49">
    <w:name w:val="标题 7 字符"/>
    <w:link w:val="8"/>
    <w:semiHidden/>
    <w:qFormat/>
    <w:uiPriority w:val="9"/>
    <w:rPr>
      <w:caps/>
      <w:color w:val="0B5294"/>
      <w:spacing w:val="10"/>
    </w:rPr>
  </w:style>
  <w:style w:type="character" w:customStyle="1" w:styleId="50">
    <w:name w:val="标题 8 字符"/>
    <w:link w:val="9"/>
    <w:semiHidden/>
    <w:qFormat/>
    <w:uiPriority w:val="9"/>
    <w:rPr>
      <w:caps/>
      <w:spacing w:val="10"/>
      <w:sz w:val="18"/>
      <w:szCs w:val="18"/>
    </w:rPr>
  </w:style>
  <w:style w:type="character" w:customStyle="1" w:styleId="51">
    <w:name w:val="标题 9 字符"/>
    <w:link w:val="10"/>
    <w:semiHidden/>
    <w:qFormat/>
    <w:uiPriority w:val="9"/>
    <w:rPr>
      <w:i/>
      <w:iCs/>
      <w:caps/>
      <w:spacing w:val="10"/>
      <w:sz w:val="18"/>
      <w:szCs w:val="18"/>
    </w:rPr>
  </w:style>
  <w:style w:type="character" w:customStyle="1" w:styleId="52">
    <w:name w:val="批注文字 字符"/>
    <w:basedOn w:val="36"/>
    <w:link w:val="14"/>
    <w:qFormat/>
    <w:uiPriority w:val="99"/>
  </w:style>
  <w:style w:type="character" w:customStyle="1" w:styleId="53">
    <w:name w:val="批注主题 字符"/>
    <w:link w:val="31"/>
    <w:semiHidden/>
    <w:qFormat/>
    <w:uiPriority w:val="99"/>
    <w:rPr>
      <w:b/>
      <w:bCs/>
    </w:rPr>
  </w:style>
  <w:style w:type="character" w:customStyle="1" w:styleId="54">
    <w:name w:val="题注 字符"/>
    <w:basedOn w:val="36"/>
    <w:link w:val="12"/>
    <w:qFormat/>
    <w:uiPriority w:val="0"/>
    <w:rPr>
      <w:rFonts w:ascii="Times New Roman" w:hAnsi="Times New Roman" w:eastAsia="黑体"/>
      <w:b/>
      <w:bCs/>
      <w:sz w:val="21"/>
      <w:szCs w:val="16"/>
    </w:rPr>
  </w:style>
  <w:style w:type="character" w:customStyle="1" w:styleId="55">
    <w:name w:val="文档结构图 字符"/>
    <w:link w:val="13"/>
    <w:semiHidden/>
    <w:qFormat/>
    <w:uiPriority w:val="99"/>
    <w:rPr>
      <w:rFonts w:ascii="宋体" w:eastAsia="宋体"/>
      <w:sz w:val="18"/>
      <w:szCs w:val="18"/>
    </w:rPr>
  </w:style>
  <w:style w:type="character" w:customStyle="1" w:styleId="56">
    <w:name w:val="批注框文本 字符"/>
    <w:link w:val="18"/>
    <w:semiHidden/>
    <w:qFormat/>
    <w:uiPriority w:val="99"/>
    <w:rPr>
      <w:sz w:val="18"/>
      <w:szCs w:val="18"/>
    </w:rPr>
  </w:style>
  <w:style w:type="character" w:customStyle="1" w:styleId="57">
    <w:name w:val="页脚 字符"/>
    <w:link w:val="19"/>
    <w:qFormat/>
    <w:uiPriority w:val="99"/>
    <w:rPr>
      <w:sz w:val="18"/>
      <w:szCs w:val="18"/>
    </w:rPr>
  </w:style>
  <w:style w:type="character" w:customStyle="1" w:styleId="58">
    <w:name w:val="页眉 字符"/>
    <w:link w:val="20"/>
    <w:qFormat/>
    <w:uiPriority w:val="99"/>
    <w:rPr>
      <w:sz w:val="18"/>
      <w:szCs w:val="18"/>
    </w:rPr>
  </w:style>
  <w:style w:type="character" w:customStyle="1" w:styleId="59">
    <w:name w:val="副标题 字符"/>
    <w:link w:val="23"/>
    <w:qFormat/>
    <w:uiPriority w:val="11"/>
    <w:rPr>
      <w:caps/>
      <w:color w:val="595959"/>
      <w:spacing w:val="10"/>
      <w:sz w:val="21"/>
      <w:szCs w:val="21"/>
    </w:rPr>
  </w:style>
  <w:style w:type="character" w:customStyle="1" w:styleId="60">
    <w:name w:val="脚注文本 字符"/>
    <w:link w:val="24"/>
    <w:qFormat/>
    <w:uiPriority w:val="0"/>
    <w:rPr>
      <w:sz w:val="18"/>
      <w:szCs w:val="18"/>
    </w:rPr>
  </w:style>
  <w:style w:type="character" w:customStyle="1" w:styleId="61">
    <w:name w:val="标题 字符"/>
    <w:link w:val="30"/>
    <w:qFormat/>
    <w:uiPriority w:val="10"/>
    <w:rPr>
      <w:rFonts w:ascii="Calibri Light" w:hAnsi="Calibri Light" w:eastAsia="宋体" w:cs="Times New Roman"/>
      <w:caps/>
      <w:color w:val="0F6FC6"/>
      <w:spacing w:val="10"/>
      <w:sz w:val="52"/>
      <w:szCs w:val="52"/>
    </w:rPr>
  </w:style>
  <w:style w:type="character" w:customStyle="1" w:styleId="62">
    <w:name w:val="明显强调1"/>
    <w:qFormat/>
    <w:uiPriority w:val="21"/>
    <w:rPr>
      <w:b/>
      <w:bCs/>
      <w:caps/>
      <w:color w:val="073662"/>
      <w:spacing w:val="10"/>
    </w:rPr>
  </w:style>
  <w:style w:type="character" w:customStyle="1" w:styleId="63">
    <w:name w:val="报告正文样式 Char"/>
    <w:link w:val="64"/>
    <w:qFormat/>
    <w:uiPriority w:val="0"/>
    <w:rPr>
      <w:rFonts w:ascii="宋体" w:hAnsi="宋体" w:cs="宋体"/>
      <w:color w:val="000000"/>
      <w:kern w:val="0"/>
      <w:sz w:val="24"/>
      <w:szCs w:val="21"/>
    </w:rPr>
  </w:style>
  <w:style w:type="paragraph" w:customStyle="1" w:styleId="64">
    <w:name w:val="报告正文样式"/>
    <w:basedOn w:val="1"/>
    <w:link w:val="63"/>
    <w:qFormat/>
    <w:uiPriority w:val="0"/>
    <w:pPr>
      <w:spacing w:beforeLines="50" w:afterLines="50" w:line="360" w:lineRule="auto"/>
      <w:ind w:firstLine="480" w:firstLineChars="200"/>
    </w:pPr>
    <w:rPr>
      <w:rFonts w:ascii="宋体" w:hAnsi="宋体"/>
      <w:color w:val="000000"/>
      <w:sz w:val="24"/>
      <w:szCs w:val="21"/>
      <w:lang w:val="zh-CN"/>
    </w:rPr>
  </w:style>
  <w:style w:type="character" w:customStyle="1" w:styleId="65">
    <w:name w:val="明显参考1"/>
    <w:qFormat/>
    <w:uiPriority w:val="32"/>
    <w:rPr>
      <w:b/>
      <w:bCs/>
      <w:i/>
      <w:iCs/>
      <w:caps/>
      <w:color w:val="0F6FC6"/>
    </w:rPr>
  </w:style>
  <w:style w:type="character" w:customStyle="1" w:styleId="66">
    <w:name w:val="中图标 Char"/>
    <w:link w:val="67"/>
    <w:qFormat/>
    <w:uiPriority w:val="0"/>
    <w:rPr>
      <w:rFonts w:ascii="Times New Roman" w:hAnsi="Times New Roman" w:eastAsia="黑体" w:cs="Times New Roman"/>
      <w:szCs w:val="21"/>
    </w:rPr>
  </w:style>
  <w:style w:type="paragraph" w:customStyle="1" w:styleId="67">
    <w:name w:val="中图标"/>
    <w:basedOn w:val="68"/>
    <w:link w:val="66"/>
    <w:qFormat/>
    <w:uiPriority w:val="0"/>
  </w:style>
  <w:style w:type="paragraph" w:customStyle="1" w:styleId="68">
    <w:name w:val="图标题"/>
    <w:basedOn w:val="1"/>
    <w:link w:val="69"/>
    <w:qFormat/>
    <w:uiPriority w:val="0"/>
    <w:pPr>
      <w:spacing w:afterLines="50"/>
      <w:ind w:firstLine="422" w:firstLineChars="200"/>
      <w:jc w:val="center"/>
    </w:pPr>
    <w:rPr>
      <w:rFonts w:ascii="Times New Roman" w:hAnsi="Times New Roman" w:eastAsia="黑体"/>
      <w:szCs w:val="21"/>
      <w:lang w:val="zh-CN"/>
    </w:rPr>
  </w:style>
  <w:style w:type="character" w:customStyle="1" w:styleId="69">
    <w:name w:val="图标题 Char"/>
    <w:link w:val="68"/>
    <w:qFormat/>
    <w:uiPriority w:val="0"/>
    <w:rPr>
      <w:rFonts w:ascii="Times New Roman" w:hAnsi="Times New Roman" w:eastAsia="黑体" w:cs="Times New Roman"/>
      <w:szCs w:val="21"/>
    </w:rPr>
  </w:style>
  <w:style w:type="character" w:customStyle="1" w:styleId="70">
    <w:name w:val="不明显强调1"/>
    <w:qFormat/>
    <w:uiPriority w:val="19"/>
    <w:rPr>
      <w:i/>
      <w:iCs/>
      <w:color w:val="073662"/>
    </w:rPr>
  </w:style>
  <w:style w:type="character" w:customStyle="1" w:styleId="71">
    <w:name w:val="西华二级标题 Char"/>
    <w:link w:val="72"/>
    <w:qFormat/>
    <w:uiPriority w:val="0"/>
    <w:rPr>
      <w:rFonts w:ascii="Times New Roman" w:hAnsi="Times New Roman" w:eastAsia="黑体" w:cs="Times New Roman"/>
      <w:b/>
      <w:bCs/>
      <w:color w:val="000000"/>
      <w:sz w:val="30"/>
      <w:szCs w:val="30"/>
    </w:rPr>
  </w:style>
  <w:style w:type="paragraph" w:customStyle="1" w:styleId="72">
    <w:name w:val="西华二级标题"/>
    <w:basedOn w:val="73"/>
    <w:link w:val="71"/>
    <w:qFormat/>
    <w:uiPriority w:val="0"/>
    <w:pPr>
      <w:tabs>
        <w:tab w:val="left" w:pos="4770"/>
      </w:tabs>
      <w:spacing w:before="312" w:beforeLines="100" w:after="312" w:afterLines="100" w:line="240" w:lineRule="auto"/>
    </w:pPr>
    <w:rPr>
      <w:rFonts w:ascii="Times New Roman" w:hAnsi="Times New Roman"/>
    </w:rPr>
  </w:style>
  <w:style w:type="paragraph" w:customStyle="1" w:styleId="73">
    <w:name w:val="新报告二级"/>
    <w:basedOn w:val="1"/>
    <w:link w:val="74"/>
    <w:qFormat/>
    <w:uiPriority w:val="0"/>
    <w:pPr>
      <w:spacing w:beforeLines="50" w:afterLines="50" w:line="360" w:lineRule="auto"/>
      <w:outlineLvl w:val="1"/>
    </w:pPr>
    <w:rPr>
      <w:rFonts w:ascii="黑体" w:hAnsi="黑体" w:eastAsia="黑体"/>
      <w:b/>
      <w:bCs/>
      <w:color w:val="000000"/>
      <w:sz w:val="30"/>
      <w:szCs w:val="30"/>
      <w:lang w:val="zh-CN"/>
    </w:rPr>
  </w:style>
  <w:style w:type="character" w:customStyle="1" w:styleId="74">
    <w:name w:val="新报告二级 Char"/>
    <w:link w:val="73"/>
    <w:qFormat/>
    <w:uiPriority w:val="0"/>
    <w:rPr>
      <w:rFonts w:ascii="黑体" w:hAnsi="黑体" w:eastAsia="黑体" w:cs="Times New Roman"/>
      <w:b/>
      <w:bCs/>
      <w:color w:val="000000"/>
      <w:sz w:val="30"/>
      <w:szCs w:val="30"/>
    </w:rPr>
  </w:style>
  <w:style w:type="character" w:customStyle="1" w:styleId="75">
    <w:name w:val="明显引用 Char"/>
    <w:link w:val="76"/>
    <w:qFormat/>
    <w:uiPriority w:val="30"/>
    <w:rPr>
      <w:color w:val="0F6FC6"/>
      <w:sz w:val="24"/>
      <w:szCs w:val="24"/>
    </w:rPr>
  </w:style>
  <w:style w:type="paragraph" w:customStyle="1" w:styleId="76">
    <w:name w:val="明显引用1"/>
    <w:basedOn w:val="1"/>
    <w:next w:val="1"/>
    <w:link w:val="75"/>
    <w:qFormat/>
    <w:uiPriority w:val="30"/>
    <w:pPr>
      <w:spacing w:before="240" w:after="240"/>
      <w:ind w:left="1080" w:right="1080"/>
      <w:jc w:val="center"/>
    </w:pPr>
    <w:rPr>
      <w:color w:val="0F6FC6"/>
      <w:sz w:val="24"/>
      <w:szCs w:val="24"/>
      <w:lang w:val="zh-CN"/>
    </w:rPr>
  </w:style>
  <w:style w:type="character" w:customStyle="1" w:styleId="77">
    <w:name w:val="报告四级样式 Char"/>
    <w:link w:val="78"/>
    <w:qFormat/>
    <w:uiPriority w:val="0"/>
    <w:rPr>
      <w:rFonts w:ascii="黑体" w:hAnsi="黑体" w:eastAsia="黑体" w:cs="Times New Roman"/>
      <w:b/>
      <w:bCs/>
      <w:sz w:val="26"/>
      <w:szCs w:val="26"/>
    </w:rPr>
  </w:style>
  <w:style w:type="paragraph" w:customStyle="1" w:styleId="78">
    <w:name w:val="报告四级样式"/>
    <w:basedOn w:val="1"/>
    <w:link w:val="77"/>
    <w:qFormat/>
    <w:uiPriority w:val="0"/>
    <w:pPr>
      <w:spacing w:before="260" w:afterLines="50" w:line="415" w:lineRule="auto"/>
      <w:ind w:firstLine="512" w:firstLineChars="196"/>
      <w:outlineLvl w:val="1"/>
    </w:pPr>
    <w:rPr>
      <w:rFonts w:ascii="黑体" w:hAnsi="黑体" w:eastAsia="黑体"/>
      <w:b/>
      <w:bCs/>
      <w:sz w:val="26"/>
      <w:szCs w:val="26"/>
      <w:lang w:val="zh-CN"/>
    </w:rPr>
  </w:style>
  <w:style w:type="character" w:customStyle="1" w:styleId="79">
    <w:name w:val="南开大学正文 Char"/>
    <w:link w:val="80"/>
    <w:qFormat/>
    <w:uiPriority w:val="0"/>
    <w:rPr>
      <w:rFonts w:ascii="宋体" w:hAnsi="宋体" w:eastAsia="宋体" w:cs="Times New Roman"/>
      <w:sz w:val="24"/>
      <w:szCs w:val="24"/>
    </w:rPr>
  </w:style>
  <w:style w:type="paragraph" w:customStyle="1" w:styleId="80">
    <w:name w:val="南开大学正文"/>
    <w:basedOn w:val="1"/>
    <w:link w:val="79"/>
    <w:qFormat/>
    <w:uiPriority w:val="0"/>
    <w:pPr>
      <w:adjustRightInd w:val="0"/>
      <w:snapToGrid w:val="0"/>
      <w:spacing w:beforeLines="50" w:afterLines="50" w:line="360" w:lineRule="auto"/>
      <w:ind w:firstLine="480" w:firstLineChars="200"/>
      <w:jc w:val="both"/>
    </w:pPr>
    <w:rPr>
      <w:rFonts w:ascii="宋体" w:hAnsi="宋体"/>
      <w:sz w:val="24"/>
      <w:szCs w:val="24"/>
      <w:lang w:val="zh-CN"/>
    </w:rPr>
  </w:style>
  <w:style w:type="character" w:customStyle="1" w:styleId="81">
    <w:name w:val="报告三级标题 Char"/>
    <w:link w:val="82"/>
    <w:qFormat/>
    <w:uiPriority w:val="0"/>
    <w:rPr>
      <w:rFonts w:ascii="黑体" w:hAnsi="黑体" w:eastAsia="黑体" w:cs="Times New Roman"/>
      <w:b/>
      <w:bCs/>
      <w:kern w:val="2"/>
      <w:sz w:val="24"/>
      <w:szCs w:val="24"/>
    </w:rPr>
  </w:style>
  <w:style w:type="paragraph" w:customStyle="1" w:styleId="82">
    <w:name w:val="报告三级标题"/>
    <w:basedOn w:val="1"/>
    <w:link w:val="81"/>
    <w:qFormat/>
    <w:uiPriority w:val="0"/>
    <w:pPr>
      <w:widowControl w:val="0"/>
      <w:spacing w:before="260" w:after="163" w:afterLines="50" w:line="415" w:lineRule="auto"/>
      <w:jc w:val="both"/>
      <w:outlineLvl w:val="1"/>
    </w:pPr>
    <w:rPr>
      <w:rFonts w:ascii="黑体" w:hAnsi="黑体" w:eastAsia="黑体"/>
      <w:b/>
      <w:bCs/>
      <w:kern w:val="2"/>
      <w:sz w:val="24"/>
      <w:szCs w:val="24"/>
      <w:lang w:val="zh-CN"/>
    </w:rPr>
  </w:style>
  <w:style w:type="character" w:customStyle="1" w:styleId="83">
    <w:name w:val="不明显参考1"/>
    <w:qFormat/>
    <w:uiPriority w:val="31"/>
    <w:rPr>
      <w:b/>
      <w:bCs/>
      <w:color w:val="0F6FC6"/>
    </w:rPr>
  </w:style>
  <w:style w:type="character" w:customStyle="1" w:styleId="84">
    <w:name w:val="zisiblack21"/>
    <w:qFormat/>
    <w:uiPriority w:val="0"/>
    <w:rPr>
      <w:rFonts w:hint="default" w:ascii="ˎ̥" w:hAnsi="ˎ̥"/>
      <w:color w:val="000000"/>
      <w:sz w:val="21"/>
      <w:szCs w:val="21"/>
    </w:rPr>
  </w:style>
  <w:style w:type="character" w:customStyle="1" w:styleId="85">
    <w:name w:val="图表标题 Char"/>
    <w:link w:val="86"/>
    <w:qFormat/>
    <w:locked/>
    <w:uiPriority w:val="0"/>
    <w:rPr>
      <w:rFonts w:ascii="Times New Roman" w:hAnsi="Times New Roman" w:eastAsia="宋体" w:cs="Times New Roman"/>
      <w:kern w:val="2"/>
      <w:sz w:val="21"/>
      <w:szCs w:val="21"/>
    </w:rPr>
  </w:style>
  <w:style w:type="paragraph" w:customStyle="1" w:styleId="86">
    <w:name w:val="图表标题"/>
    <w:basedOn w:val="1"/>
    <w:link w:val="85"/>
    <w:qFormat/>
    <w:uiPriority w:val="0"/>
    <w:pPr>
      <w:widowControl w:val="0"/>
      <w:spacing w:afterLines="50" w:line="360" w:lineRule="auto"/>
      <w:ind w:firstLine="422" w:firstLineChars="200"/>
      <w:jc w:val="center"/>
    </w:pPr>
    <w:rPr>
      <w:rFonts w:ascii="Times New Roman" w:hAnsi="Times New Roman"/>
      <w:kern w:val="2"/>
      <w:sz w:val="21"/>
      <w:szCs w:val="21"/>
      <w:lang w:val="zh-CN"/>
    </w:rPr>
  </w:style>
  <w:style w:type="character" w:customStyle="1" w:styleId="87">
    <w:name w:val="报告一级标题样式 Char"/>
    <w:link w:val="88"/>
    <w:qFormat/>
    <w:uiPriority w:val="0"/>
    <w:rPr>
      <w:rFonts w:ascii="黑体" w:hAnsi="黑体" w:eastAsia="黑体" w:cs="Times New Roman"/>
      <w:caps/>
      <w:color w:val="000000"/>
      <w:spacing w:val="15"/>
      <w:kern w:val="44"/>
      <w:sz w:val="32"/>
      <w:szCs w:val="32"/>
      <w:shd w:val="clear" w:color="auto" w:fill="0F6FC6"/>
    </w:rPr>
  </w:style>
  <w:style w:type="paragraph" w:customStyle="1" w:styleId="88">
    <w:name w:val="报告一级标题样式"/>
    <w:basedOn w:val="2"/>
    <w:link w:val="87"/>
    <w:qFormat/>
    <w:uiPriority w:val="0"/>
    <w:pPr>
      <w:spacing w:after="50" w:line="360" w:lineRule="auto"/>
      <w:jc w:val="center"/>
    </w:pPr>
    <w:rPr>
      <w:rFonts w:ascii="黑体" w:hAnsi="黑体" w:eastAsia="黑体"/>
      <w:color w:val="000000"/>
      <w:kern w:val="44"/>
      <w:sz w:val="32"/>
      <w:szCs w:val="32"/>
    </w:rPr>
  </w:style>
  <w:style w:type="character" w:customStyle="1" w:styleId="89">
    <w:name w:val="新报告三级 Char"/>
    <w:link w:val="90"/>
    <w:qFormat/>
    <w:uiPriority w:val="0"/>
    <w:rPr>
      <w:rFonts w:ascii="黑体" w:hAnsi="黑体" w:eastAsia="黑体" w:cs="Times New Roman"/>
      <w:b/>
      <w:bCs/>
      <w:kern w:val="2"/>
      <w:sz w:val="28"/>
      <w:szCs w:val="28"/>
    </w:rPr>
  </w:style>
  <w:style w:type="paragraph" w:customStyle="1" w:styleId="90">
    <w:name w:val="新报告三级"/>
    <w:basedOn w:val="1"/>
    <w:link w:val="89"/>
    <w:qFormat/>
    <w:uiPriority w:val="0"/>
    <w:pPr>
      <w:widowControl w:val="0"/>
      <w:spacing w:before="260" w:afterLines="50" w:line="415" w:lineRule="auto"/>
      <w:jc w:val="both"/>
      <w:outlineLvl w:val="1"/>
    </w:pPr>
    <w:rPr>
      <w:rFonts w:ascii="黑体" w:hAnsi="黑体" w:eastAsia="黑体"/>
      <w:b/>
      <w:bCs/>
      <w:kern w:val="2"/>
      <w:sz w:val="28"/>
      <w:szCs w:val="28"/>
      <w:lang w:val="zh-CN"/>
    </w:rPr>
  </w:style>
  <w:style w:type="character" w:customStyle="1" w:styleId="91">
    <w:name w:val="南开三级 Char"/>
    <w:link w:val="92"/>
    <w:qFormat/>
    <w:locked/>
    <w:uiPriority w:val="0"/>
    <w:rPr>
      <w:rFonts w:ascii="黑体" w:hAnsi="黑体" w:eastAsia="黑体" w:cs="Times New Roman"/>
      <w:b/>
      <w:bCs/>
      <w:kern w:val="0"/>
      <w:sz w:val="28"/>
      <w:szCs w:val="28"/>
    </w:rPr>
  </w:style>
  <w:style w:type="paragraph" w:customStyle="1" w:styleId="92">
    <w:name w:val="南开三级"/>
    <w:basedOn w:val="4"/>
    <w:link w:val="91"/>
    <w:qFormat/>
    <w:uiPriority w:val="0"/>
    <w:pPr>
      <w:spacing w:before="240" w:afterLines="50" w:line="412" w:lineRule="auto"/>
    </w:pPr>
    <w:rPr>
      <w:rFonts w:ascii="黑体" w:hAnsi="黑体" w:eastAsia="黑体"/>
      <w:b/>
      <w:bCs/>
      <w:caps w:val="0"/>
      <w:color w:val="auto"/>
      <w:spacing w:val="0"/>
      <w:sz w:val="28"/>
      <w:szCs w:val="28"/>
    </w:rPr>
  </w:style>
  <w:style w:type="character" w:customStyle="1" w:styleId="93">
    <w:name w:val="无间隔 Char"/>
    <w:link w:val="94"/>
    <w:qFormat/>
    <w:uiPriority w:val="1"/>
    <w:rPr>
      <w:lang w:val="en-US" w:eastAsia="zh-CN" w:bidi="ar-SA"/>
    </w:rPr>
  </w:style>
  <w:style w:type="paragraph" w:customStyle="1" w:styleId="94">
    <w:name w:val="无间隔1"/>
    <w:link w:val="93"/>
    <w:qFormat/>
    <w:uiPriority w:val="1"/>
    <w:pPr>
      <w:spacing w:before="100"/>
    </w:pPr>
    <w:rPr>
      <w:rFonts w:ascii="Calibri Light" w:hAnsi="Calibri Light" w:eastAsia="宋体" w:cs="Times New Roman"/>
      <w:lang w:val="en-US" w:eastAsia="zh-CN" w:bidi="ar-SA"/>
    </w:rPr>
  </w:style>
  <w:style w:type="character" w:customStyle="1" w:styleId="95">
    <w:name w:val="引用 Char"/>
    <w:link w:val="96"/>
    <w:qFormat/>
    <w:uiPriority w:val="29"/>
    <w:rPr>
      <w:i/>
      <w:iCs/>
      <w:sz w:val="24"/>
      <w:szCs w:val="24"/>
    </w:rPr>
  </w:style>
  <w:style w:type="paragraph" w:customStyle="1" w:styleId="96">
    <w:name w:val="引用1"/>
    <w:basedOn w:val="1"/>
    <w:next w:val="1"/>
    <w:link w:val="95"/>
    <w:qFormat/>
    <w:uiPriority w:val="29"/>
    <w:rPr>
      <w:i/>
      <w:iCs/>
      <w:sz w:val="24"/>
      <w:szCs w:val="24"/>
      <w:lang w:val="zh-CN"/>
    </w:rPr>
  </w:style>
  <w:style w:type="character" w:customStyle="1" w:styleId="97">
    <w:name w:val="书籍标题1"/>
    <w:qFormat/>
    <w:uiPriority w:val="33"/>
    <w:rPr>
      <w:b/>
      <w:bCs/>
      <w:i/>
      <w:iCs/>
      <w:spacing w:val="0"/>
    </w:rPr>
  </w:style>
  <w:style w:type="character" w:customStyle="1" w:styleId="98">
    <w:name w:val="样式1 Char"/>
    <w:link w:val="99"/>
    <w:qFormat/>
    <w:uiPriority w:val="0"/>
    <w:rPr>
      <w:caps/>
      <w:color w:val="FFFFFF"/>
      <w:spacing w:val="15"/>
      <w:sz w:val="40"/>
      <w:szCs w:val="22"/>
      <w:shd w:val="clear" w:color="auto" w:fill="0F6FC6"/>
    </w:rPr>
  </w:style>
  <w:style w:type="paragraph" w:customStyle="1" w:styleId="99">
    <w:name w:val="样式1"/>
    <w:basedOn w:val="2"/>
    <w:link w:val="98"/>
    <w:qFormat/>
    <w:uiPriority w:val="0"/>
    <w:pPr>
      <w:jc w:val="center"/>
    </w:pPr>
    <w:rPr>
      <w:sz w:val="40"/>
    </w:rPr>
  </w:style>
  <w:style w:type="character" w:customStyle="1" w:styleId="100">
    <w:name w:val="南开图标 Char"/>
    <w:link w:val="101"/>
    <w:qFormat/>
    <w:uiPriority w:val="0"/>
    <w:rPr>
      <w:rFonts w:ascii="黑体" w:hAnsi="黑体" w:eastAsia="黑体" w:cs="Times New Roman"/>
      <w:sz w:val="21"/>
      <w:szCs w:val="21"/>
    </w:rPr>
  </w:style>
  <w:style w:type="paragraph" w:customStyle="1" w:styleId="101">
    <w:name w:val="南开图标"/>
    <w:basedOn w:val="1"/>
    <w:link w:val="100"/>
    <w:qFormat/>
    <w:uiPriority w:val="0"/>
    <w:pPr>
      <w:adjustRightInd w:val="0"/>
      <w:snapToGrid w:val="0"/>
      <w:spacing w:afterLines="50"/>
      <w:ind w:firstLine="422" w:firstLineChars="200"/>
      <w:jc w:val="center"/>
    </w:pPr>
    <w:rPr>
      <w:rFonts w:ascii="黑体" w:hAnsi="黑体" w:eastAsia="黑体"/>
      <w:sz w:val="21"/>
      <w:szCs w:val="21"/>
      <w:lang w:val="zh-CN"/>
    </w:rPr>
  </w:style>
  <w:style w:type="character" w:customStyle="1" w:styleId="102">
    <w:name w:val="南开二级标题 Char"/>
    <w:link w:val="103"/>
    <w:qFormat/>
    <w:uiPriority w:val="0"/>
    <w:rPr>
      <w:rFonts w:ascii="黑体" w:hAnsi="黑体" w:eastAsia="黑体" w:cs="Times New Roman"/>
      <w:b/>
      <w:bCs/>
      <w:sz w:val="30"/>
      <w:szCs w:val="30"/>
    </w:rPr>
  </w:style>
  <w:style w:type="paragraph" w:customStyle="1" w:styleId="103">
    <w:name w:val="南开二级标题"/>
    <w:basedOn w:val="3"/>
    <w:link w:val="102"/>
    <w:qFormat/>
    <w:uiPriority w:val="0"/>
    <w:pPr>
      <w:widowControl w:val="0"/>
      <w:pBdr>
        <w:top w:val="none" w:color="auto" w:sz="0" w:space="0"/>
        <w:left w:val="none" w:color="auto" w:sz="0" w:space="0"/>
        <w:bottom w:val="none" w:color="auto" w:sz="0" w:space="0"/>
        <w:right w:val="none" w:color="auto" w:sz="0" w:space="0"/>
      </w:pBdr>
      <w:shd w:val="clear" w:color="auto" w:fill="auto"/>
      <w:spacing w:beforeLines="50" w:afterLines="50" w:line="360" w:lineRule="auto"/>
      <w:jc w:val="both"/>
    </w:pPr>
    <w:rPr>
      <w:rFonts w:ascii="黑体" w:hAnsi="黑体" w:eastAsia="黑体"/>
      <w:b/>
      <w:bCs/>
      <w:caps w:val="0"/>
      <w:spacing w:val="0"/>
      <w:sz w:val="30"/>
      <w:szCs w:val="30"/>
    </w:rPr>
  </w:style>
  <w:style w:type="character" w:customStyle="1" w:styleId="104">
    <w:name w:val="图表标注 Char"/>
    <w:link w:val="105"/>
    <w:qFormat/>
    <w:uiPriority w:val="0"/>
    <w:rPr>
      <w:rFonts w:ascii="黑体" w:hAnsi="黑体" w:eastAsia="黑体" w:cs="Times New Roman"/>
      <w:kern w:val="2"/>
      <w:sz w:val="21"/>
      <w:szCs w:val="21"/>
    </w:rPr>
  </w:style>
  <w:style w:type="paragraph" w:customStyle="1" w:styleId="105">
    <w:name w:val="图表标注"/>
    <w:basedOn w:val="1"/>
    <w:link w:val="104"/>
    <w:qFormat/>
    <w:uiPriority w:val="0"/>
    <w:pPr>
      <w:widowControl w:val="0"/>
      <w:spacing w:before="200"/>
      <w:ind w:firstLine="420"/>
      <w:jc w:val="center"/>
    </w:pPr>
    <w:rPr>
      <w:rFonts w:ascii="黑体" w:hAnsi="黑体" w:eastAsia="黑体"/>
      <w:kern w:val="2"/>
      <w:sz w:val="21"/>
      <w:szCs w:val="21"/>
      <w:lang w:val="zh-CN"/>
    </w:rPr>
  </w:style>
  <w:style w:type="character" w:customStyle="1" w:styleId="106">
    <w:name w:val="西华三级标题 Char"/>
    <w:link w:val="107"/>
    <w:qFormat/>
    <w:uiPriority w:val="0"/>
    <w:rPr>
      <w:rFonts w:ascii="Times New Roman" w:hAnsi="Times New Roman" w:eastAsia="黑体" w:cs="Times New Roman"/>
      <w:b/>
      <w:bCs/>
      <w:color w:val="000000"/>
      <w:sz w:val="28"/>
      <w:szCs w:val="30"/>
    </w:rPr>
  </w:style>
  <w:style w:type="paragraph" w:customStyle="1" w:styleId="107">
    <w:name w:val="西华三级标题"/>
    <w:basedOn w:val="73"/>
    <w:link w:val="106"/>
    <w:qFormat/>
    <w:uiPriority w:val="0"/>
    <w:pPr>
      <w:spacing w:before="156" w:after="156" w:line="240" w:lineRule="auto"/>
      <w:outlineLvl w:val="2"/>
    </w:pPr>
    <w:rPr>
      <w:rFonts w:ascii="Times New Roman" w:hAnsi="Times New Roman"/>
      <w:sz w:val="28"/>
    </w:rPr>
  </w:style>
  <w:style w:type="paragraph" w:customStyle="1" w:styleId="108">
    <w:name w:val="我的报告3级"/>
    <w:basedOn w:val="1"/>
    <w:qFormat/>
    <w:uiPriority w:val="0"/>
    <w:pPr>
      <w:keepNext/>
      <w:widowControl w:val="0"/>
      <w:spacing w:beforeLines="100" w:afterLines="100" w:line="400" w:lineRule="exact"/>
      <w:outlineLvl w:val="2"/>
    </w:pPr>
    <w:rPr>
      <w:rFonts w:ascii="Time New Roman" w:hAnsi="Time New Roman" w:eastAsia="黑体" w:cs="宋体"/>
      <w:b/>
      <w:bCs/>
      <w:color w:val="000000"/>
      <w:sz w:val="28"/>
      <w:szCs w:val="28"/>
    </w:rPr>
  </w:style>
  <w:style w:type="paragraph" w:customStyle="1" w:styleId="109">
    <w:name w:val="列出段落1"/>
    <w:basedOn w:val="1"/>
    <w:qFormat/>
    <w:uiPriority w:val="34"/>
    <w:pPr>
      <w:ind w:firstLine="420" w:firstLineChars="200"/>
    </w:pPr>
  </w:style>
  <w:style w:type="paragraph" w:customStyle="1" w:styleId="110">
    <w:name w:val="我的正文"/>
    <w:basedOn w:val="64"/>
    <w:qFormat/>
    <w:uiPriority w:val="0"/>
    <w:pPr>
      <w:spacing w:beforeLines="0" w:afterLines="0"/>
      <w:ind w:firstLine="200"/>
      <w:jc w:val="both"/>
    </w:pPr>
    <w:rPr>
      <w:rFonts w:ascii="Times New Roman" w:hAnsi="Times New Roman"/>
    </w:rPr>
  </w:style>
  <w:style w:type="paragraph" w:customStyle="1" w:styleId="111">
    <w:name w:val="TOC 标题1"/>
    <w:basedOn w:val="2"/>
    <w:next w:val="1"/>
    <w:qFormat/>
    <w:uiPriority w:val="39"/>
    <w:pPr>
      <w:outlineLvl w:val="9"/>
    </w:pPr>
  </w:style>
  <w:style w:type="table" w:customStyle="1" w:styleId="112">
    <w:name w:val="网格表 4 - 着色 21"/>
    <w:basedOn w:val="32"/>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customStyle="1" w:styleId="113">
    <w:name w:val="L正文"/>
    <w:basedOn w:val="64"/>
    <w:link w:val="114"/>
    <w:qFormat/>
    <w:uiPriority w:val="0"/>
    <w:pPr>
      <w:spacing w:before="156" w:after="156"/>
      <w:jc w:val="both"/>
    </w:pPr>
    <w:rPr>
      <w:rFonts w:ascii="Times New Roman" w:hAnsi="Times New Roman"/>
      <w:szCs w:val="24"/>
    </w:rPr>
  </w:style>
  <w:style w:type="character" w:customStyle="1" w:styleId="114">
    <w:name w:val="L正文 Char"/>
    <w:basedOn w:val="63"/>
    <w:link w:val="113"/>
    <w:qFormat/>
    <w:uiPriority w:val="0"/>
    <w:rPr>
      <w:rFonts w:ascii="Times New Roman" w:hAnsi="Times New Roman" w:cs="宋体"/>
      <w:color w:val="000000"/>
      <w:kern w:val="0"/>
      <w:sz w:val="24"/>
      <w:szCs w:val="24"/>
      <w:lang w:val="zh-CN" w:eastAsia="zh-CN"/>
    </w:rPr>
  </w:style>
  <w:style w:type="paragraph" w:customStyle="1" w:styleId="115">
    <w:name w:val="L图表"/>
    <w:basedOn w:val="101"/>
    <w:link w:val="116"/>
    <w:qFormat/>
    <w:uiPriority w:val="0"/>
    <w:pPr>
      <w:spacing w:after="156"/>
    </w:pPr>
    <w:rPr>
      <w:b/>
    </w:rPr>
  </w:style>
  <w:style w:type="character" w:customStyle="1" w:styleId="116">
    <w:name w:val="L图表 Char"/>
    <w:basedOn w:val="100"/>
    <w:link w:val="115"/>
    <w:qFormat/>
    <w:uiPriority w:val="0"/>
    <w:rPr>
      <w:rFonts w:ascii="黑体" w:hAnsi="黑体" w:eastAsia="黑体" w:cs="Times New Roman"/>
      <w:b/>
      <w:sz w:val="21"/>
      <w:szCs w:val="21"/>
      <w:lang w:val="zh-CN" w:eastAsia="zh-CN"/>
    </w:rPr>
  </w:style>
  <w:style w:type="paragraph" w:customStyle="1" w:styleId="117">
    <w:name w:val="L表格"/>
    <w:basedOn w:val="64"/>
    <w:link w:val="118"/>
    <w:qFormat/>
    <w:uiPriority w:val="0"/>
    <w:pPr>
      <w:spacing w:beforeLines="0" w:afterLines="0" w:line="240" w:lineRule="auto"/>
      <w:ind w:firstLine="0" w:firstLineChars="0"/>
      <w:jc w:val="center"/>
    </w:pPr>
    <w:rPr>
      <w:rFonts w:ascii="Times New Roman" w:hAnsi="Times New Roman"/>
      <w:bCs/>
      <w:sz w:val="21"/>
    </w:rPr>
  </w:style>
  <w:style w:type="character" w:customStyle="1" w:styleId="118">
    <w:name w:val="L表格 Char"/>
    <w:basedOn w:val="63"/>
    <w:link w:val="117"/>
    <w:qFormat/>
    <w:uiPriority w:val="0"/>
    <w:rPr>
      <w:rFonts w:ascii="Times New Roman" w:hAnsi="Times New Roman" w:cs="宋体"/>
      <w:bCs/>
      <w:color w:val="000000"/>
      <w:kern w:val="0"/>
      <w:sz w:val="21"/>
      <w:szCs w:val="21"/>
      <w:lang w:val="zh-CN" w:eastAsia="zh-CN"/>
    </w:rPr>
  </w:style>
  <w:style w:type="paragraph" w:customStyle="1" w:styleId="119">
    <w:name w:val="注"/>
    <w:basedOn w:val="68"/>
    <w:link w:val="120"/>
    <w:qFormat/>
    <w:uiPriority w:val="0"/>
    <w:pPr>
      <w:spacing w:afterLines="0"/>
      <w:ind w:firstLine="200"/>
      <w:jc w:val="left"/>
    </w:pPr>
    <w:rPr>
      <w:rFonts w:eastAsia="宋体"/>
      <w:sz w:val="18"/>
      <w:szCs w:val="18"/>
    </w:rPr>
  </w:style>
  <w:style w:type="character" w:customStyle="1" w:styleId="120">
    <w:name w:val="注 Char"/>
    <w:basedOn w:val="69"/>
    <w:link w:val="119"/>
    <w:qFormat/>
    <w:uiPriority w:val="0"/>
    <w:rPr>
      <w:rFonts w:ascii="Times New Roman" w:hAnsi="Times New Roman" w:eastAsia="黑体" w:cs="Times New Roman"/>
      <w:sz w:val="18"/>
      <w:szCs w:val="18"/>
      <w:lang w:val="zh-CN"/>
    </w:rPr>
  </w:style>
  <w:style w:type="paragraph" w:customStyle="1" w:styleId="121">
    <w:name w:val="12131"/>
    <w:basedOn w:val="2"/>
    <w:link w:val="122"/>
    <w:qFormat/>
    <w:uiPriority w:val="0"/>
    <w:pPr>
      <w:spacing w:after="312" w:afterLines="100" w:line="360" w:lineRule="auto"/>
    </w:pPr>
    <w:rPr>
      <w:rFonts w:ascii="黑体" w:hAnsi="黑体" w:eastAsia="黑体"/>
      <w:b/>
      <w:sz w:val="36"/>
      <w:szCs w:val="36"/>
    </w:rPr>
  </w:style>
  <w:style w:type="character" w:customStyle="1" w:styleId="122">
    <w:name w:val="12131 Char"/>
    <w:basedOn w:val="43"/>
    <w:link w:val="121"/>
    <w:qFormat/>
    <w:uiPriority w:val="0"/>
    <w:rPr>
      <w:rFonts w:ascii="黑体" w:hAnsi="黑体" w:eastAsia="黑体"/>
      <w:b/>
      <w:color w:val="FFFFFF"/>
      <w:spacing w:val="15"/>
      <w:sz w:val="36"/>
      <w:szCs w:val="36"/>
      <w:shd w:val="clear" w:color="auto" w:fill="0F6FC6"/>
      <w:lang w:val="zh-CN" w:eastAsia="zh-CN"/>
    </w:rPr>
  </w:style>
  <w:style w:type="paragraph" w:customStyle="1" w:styleId="123">
    <w:name w:val="11111"/>
    <w:basedOn w:val="2"/>
    <w:link w:val="124"/>
    <w:qFormat/>
    <w:uiPriority w:val="0"/>
    <w:pPr>
      <w:jc w:val="center"/>
    </w:pPr>
    <w:rPr>
      <w:rFonts w:ascii="黑体" w:hAnsi="黑体" w:eastAsia="黑体"/>
      <w:b/>
      <w:sz w:val="36"/>
      <w:szCs w:val="36"/>
    </w:rPr>
  </w:style>
  <w:style w:type="character" w:customStyle="1" w:styleId="124">
    <w:name w:val="11111 Char"/>
    <w:basedOn w:val="43"/>
    <w:link w:val="123"/>
    <w:qFormat/>
    <w:uiPriority w:val="0"/>
    <w:rPr>
      <w:rFonts w:ascii="黑体" w:hAnsi="黑体" w:eastAsia="黑体"/>
      <w:b/>
      <w:color w:val="FFFFFF"/>
      <w:spacing w:val="15"/>
      <w:sz w:val="36"/>
      <w:szCs w:val="36"/>
      <w:shd w:val="clear" w:color="auto" w:fill="0F6FC6"/>
      <w:lang w:val="zh-CN" w:eastAsia="zh-CN"/>
    </w:rPr>
  </w:style>
  <w:style w:type="paragraph" w:customStyle="1" w:styleId="125">
    <w:name w:val="22222"/>
    <w:basedOn w:val="126"/>
    <w:link w:val="128"/>
    <w:qFormat/>
    <w:uiPriority w:val="0"/>
    <w:rPr>
      <w:shd w:val="clear" w:color="auto" w:fill="D8D8D8" w:themeFill="background1" w:themeFillShade="D9"/>
    </w:rPr>
  </w:style>
  <w:style w:type="paragraph" w:customStyle="1" w:styleId="126">
    <w:name w:val="333333"/>
    <w:basedOn w:val="107"/>
    <w:link w:val="127"/>
    <w:qFormat/>
    <w:uiPriority w:val="0"/>
  </w:style>
  <w:style w:type="character" w:customStyle="1" w:styleId="127">
    <w:name w:val="333333 Char"/>
    <w:basedOn w:val="106"/>
    <w:link w:val="126"/>
    <w:qFormat/>
    <w:uiPriority w:val="0"/>
    <w:rPr>
      <w:rFonts w:ascii="Times New Roman" w:hAnsi="Times New Roman" w:eastAsia="黑体" w:cs="Times New Roman"/>
      <w:color w:val="000000"/>
      <w:sz w:val="28"/>
      <w:szCs w:val="30"/>
      <w:lang w:val="zh-CN"/>
    </w:rPr>
  </w:style>
  <w:style w:type="character" w:customStyle="1" w:styleId="128">
    <w:name w:val="22222 Char"/>
    <w:basedOn w:val="71"/>
    <w:link w:val="125"/>
    <w:qFormat/>
    <w:uiPriority w:val="0"/>
    <w:rPr>
      <w:rFonts w:ascii="Times New Roman" w:hAnsi="Times New Roman" w:eastAsia="黑体" w:cs="Times New Roman"/>
      <w:color w:val="000000"/>
      <w:sz w:val="28"/>
      <w:szCs w:val="30"/>
      <w:lang w:val="zh-CN"/>
    </w:rPr>
  </w:style>
  <w:style w:type="table" w:customStyle="1" w:styleId="129">
    <w:name w:val="网格表 4 - 着色 11"/>
    <w:basedOn w:val="32"/>
    <w:uiPriority w:val="49"/>
    <w:tblPr>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color w:val="FFFFFF" w:themeColor="background1"/>
        <w14:textFill>
          <w14:solidFill>
            <w14:schemeClr w14:val="bg1"/>
          </w14:solidFill>
        </w14:textFill>
      </w:r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cPr>
        <w:tcBorders>
          <w:top w:val="double" w:color="4472C4" w:themeColor="accent1" w:sz="4" w:space="0"/>
        </w:tcBorders>
      </w:tcPr>
    </w:tblStylePr>
    <w:tblStylePr w:type="firstCol">
      <w:rPr>
        <w:b/>
        <w:bCs/>
      </w:rPr>
    </w:tblStylePr>
    <w:tblStylePr w:type="lastCol">
      <w:rPr>
        <w:b/>
        <w:bCs/>
      </w:rPr>
    </w:tblStylePr>
    <w:tblStylePr w:type="band1Vert">
      <w:tcPr>
        <w:shd w:val="clear" w:color="auto" w:fill="D9E2F3" w:themeFill="accent1" w:themeFillTint="33"/>
      </w:tcPr>
    </w:tblStylePr>
    <w:tblStylePr w:type="band1Horz">
      <w:tcPr>
        <w:shd w:val="clear" w:color="auto" w:fill="D9E2F3" w:themeFill="accent1" w:themeFillTint="33"/>
      </w:tcPr>
    </w:tblStylePr>
  </w:style>
  <w:style w:type="character" w:customStyle="1" w:styleId="130">
    <w:name w:val="图标题 Char Char"/>
    <w:locked/>
    <w:uiPriority w:val="0"/>
    <w:rPr>
      <w:rFonts w:ascii="Times New Roman" w:hAnsi="Times New Roman" w:eastAsia="黑体" w:cs="Times New Roman"/>
      <w:szCs w:val="21"/>
    </w:rPr>
  </w:style>
  <w:style w:type="table" w:customStyle="1" w:styleId="131">
    <w:name w:val="网格表 4 - 着色 51"/>
    <w:basedOn w:val="32"/>
    <w:uiPriority w:val="49"/>
    <w:pPr>
      <w:jc w:val="center"/>
    </w:pPr>
    <w:tblPr>
      <w:jc w:val="center"/>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rPr>
      <w:jc w:val="center"/>
    </w:trPr>
    <w:tcPr>
      <w:vAlign w:val="center"/>
    </w:tcPr>
    <w:tblStylePr w:type="firstRow">
      <w:rPr>
        <w:b/>
        <w:bCs/>
        <w:color w:val="FFFFFF" w:themeColor="background1"/>
        <w14:textFill>
          <w14:solidFill>
            <w14:schemeClr w14:val="bg1"/>
          </w14:solidFill>
        </w14:textFill>
      </w:rPr>
      <w:tcPr>
        <w:shd w:val="clear" w:color="auto" w:fill="9CC2E5" w:themeFill="accent5" w:themeFillTint="99"/>
      </w:tcPr>
    </w:tblStylePr>
    <w:tblStylePr w:type="lastRow">
      <w:rPr>
        <w:b/>
        <w:bCs/>
      </w:rPr>
      <w:tcPr>
        <w:tcBorders>
          <w:top w:val="double" w:color="5B9BD5" w:themeColor="accent5" w:sz="4" w:space="0"/>
        </w:tcBorders>
      </w:tcPr>
    </w:tblStylePr>
    <w:tblStylePr w:type="firstCol">
      <w:rPr>
        <w:b/>
        <w:bCs/>
      </w:rPr>
    </w:tblStylePr>
    <w:tblStylePr w:type="lastCol">
      <w:rPr>
        <w:b/>
        <w:bCs/>
      </w:rPr>
    </w:tblStylePr>
    <w:tblStylePr w:type="band1Vert">
      <w:tcPr>
        <w:shd w:val="clear" w:color="auto" w:fill="DEEAF6" w:themeFill="accent5" w:themeFillTint="33"/>
      </w:tcPr>
    </w:tblStylePr>
    <w:tblStylePr w:type="band1Horz">
      <w:tcPr>
        <w:shd w:val="clear" w:color="auto" w:fill="DEEAF6" w:themeFill="accent5" w:themeFillTint="33"/>
      </w:tcPr>
    </w:tblStylePr>
  </w:style>
  <w:style w:type="paragraph" w:customStyle="1" w:styleId="132">
    <w:name w:val="L 注"/>
    <w:basedOn w:val="1"/>
    <w:link w:val="133"/>
    <w:qFormat/>
    <w:uiPriority w:val="0"/>
    <w:pPr>
      <w:ind w:firstLine="200" w:firstLineChars="200"/>
    </w:pPr>
    <w:rPr>
      <w:rFonts w:ascii="Times New Roman" w:hAnsi="Times New Roman" w:eastAsiaTheme="minorEastAsia" w:cstheme="minorBidi"/>
      <w:caps/>
      <w:color w:val="4472C4" w:themeColor="accent1"/>
      <w:sz w:val="18"/>
      <w14:textFill>
        <w14:solidFill>
          <w14:schemeClr w14:val="accent1"/>
        </w14:solidFill>
      </w14:textFill>
    </w:rPr>
  </w:style>
  <w:style w:type="character" w:customStyle="1" w:styleId="133">
    <w:name w:val="L 注 Char"/>
    <w:basedOn w:val="36"/>
    <w:link w:val="132"/>
    <w:qFormat/>
    <w:uiPriority w:val="0"/>
    <w:rPr>
      <w:rFonts w:eastAsiaTheme="minorEastAsia" w:cstheme="minorBidi"/>
      <w:caps/>
      <w:color w:val="4472C4" w:themeColor="accent1"/>
      <w:sz w:val="18"/>
      <w14:textFill>
        <w14:solidFill>
          <w14:schemeClr w14:val="accent1"/>
        </w14:solidFill>
      </w14:textFill>
    </w:rPr>
  </w:style>
  <w:style w:type="character" w:customStyle="1" w:styleId="134">
    <w:name w:val="表格字体 Char"/>
    <w:link w:val="135"/>
    <w:locked/>
    <w:uiPriority w:val="0"/>
    <w:rPr>
      <w:sz w:val="21"/>
    </w:rPr>
  </w:style>
  <w:style w:type="paragraph" w:customStyle="1" w:styleId="135">
    <w:name w:val="表格字体"/>
    <w:basedOn w:val="1"/>
    <w:next w:val="1"/>
    <w:link w:val="134"/>
    <w:uiPriority w:val="0"/>
    <w:pPr>
      <w:spacing w:line="240" w:lineRule="atLeast"/>
      <w:jc w:val="center"/>
    </w:pPr>
    <w:rPr>
      <w:sz w:val="21"/>
    </w:rPr>
  </w:style>
  <w:style w:type="paragraph" w:customStyle="1" w:styleId="136">
    <w:name w:val="L 正文"/>
    <w:basedOn w:val="1"/>
    <w:link w:val="137"/>
    <w:qFormat/>
    <w:uiPriority w:val="0"/>
    <w:pPr>
      <w:spacing w:line="360" w:lineRule="auto"/>
      <w:ind w:firstLine="200" w:firstLineChars="200"/>
      <w:jc w:val="both"/>
    </w:pPr>
    <w:rPr>
      <w:rFonts w:ascii="Times New Roman" w:hAnsi="Times New Roman" w:cstheme="minorBidi"/>
      <w:color w:val="000000"/>
      <w:sz w:val="24"/>
      <w:szCs w:val="24"/>
    </w:rPr>
  </w:style>
  <w:style w:type="character" w:customStyle="1" w:styleId="137">
    <w:name w:val="L 正文 Char"/>
    <w:basedOn w:val="36"/>
    <w:link w:val="136"/>
    <w:qFormat/>
    <w:uiPriority w:val="0"/>
    <w:rPr>
      <w:rFonts w:ascii="Times New Roman" w:hAnsi="Times New Roman" w:cstheme="minorBidi"/>
      <w:color w:val="000000"/>
      <w:sz w:val="24"/>
      <w:szCs w:val="24"/>
    </w:rPr>
  </w:style>
  <w:style w:type="paragraph" w:styleId="138">
    <w:name w:val="List Paragraph"/>
    <w:basedOn w:val="1"/>
    <w:qFormat/>
    <w:uiPriority w:val="34"/>
    <w:pPr>
      <w:ind w:firstLine="420" w:firstLineChars="200"/>
    </w:pPr>
  </w:style>
  <w:style w:type="table" w:customStyle="1" w:styleId="139">
    <w:name w:val="网格表 4 - 着色 15"/>
    <w:basedOn w:val="32"/>
    <w:qFormat/>
    <w:uiPriority w:val="49"/>
    <w:rPr>
      <w:rFonts w:ascii="Calibri" w:hAnsi="Calibri"/>
      <w:kern w:val="2"/>
      <w:sz w:val="21"/>
      <w:szCs w:val="22"/>
    </w:rPr>
    <w:tblPr>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Pr>
    <w:tcPr>
      <w:vAlign w:val="center"/>
    </w:tcPr>
    <w:tblStylePr w:type="firstRow">
      <w:rPr>
        <w:b/>
        <w:bCs/>
        <w:color w:val="FFFFFF"/>
      </w:rPr>
      <w:tcPr>
        <w:tcBorders>
          <w:top w:val="single" w:color="5B9BD5" w:sz="4" w:space="0"/>
          <w:left w:val="single" w:color="5B9BD5" w:sz="4" w:space="0"/>
          <w:bottom w:val="single" w:color="5B9BD5" w:sz="4" w:space="0"/>
          <w:right w:val="single" w:color="5B9BD5" w:sz="4" w:space="0"/>
          <w:insideH w:val="nil"/>
          <w:insideV w:val="nil"/>
        </w:tcBorders>
        <w:shd w:val="clear" w:color="auto" w:fill="5B9BD5"/>
      </w:tcPr>
    </w:tblStylePr>
    <w:tblStylePr w:type="lastRow">
      <w:rPr>
        <w:b/>
        <w:bCs/>
      </w:rPr>
      <w:tcPr>
        <w:tcBorders>
          <w:top w:val="double" w:color="5B9BD5" w:sz="4" w:space="0"/>
        </w:tcBorders>
      </w:tcPr>
    </w:tblStylePr>
    <w:tblStylePr w:type="firstCol">
      <w:rPr>
        <w:b/>
        <w:bCs/>
      </w:rPr>
    </w:tblStylePr>
    <w:tblStylePr w:type="lastCol">
      <w:rPr>
        <w:b/>
        <w:bCs/>
      </w:rPr>
    </w:tblStylePr>
    <w:tblStylePr w:type="band1Vert">
      <w:tcPr>
        <w:shd w:val="clear" w:color="auto" w:fill="DEEAF6"/>
      </w:tcPr>
    </w:tblStylePr>
    <w:tblStylePr w:type="band1Horz">
      <w:tcPr>
        <w:shd w:val="clear" w:color="auto" w:fill="DEEAF6"/>
      </w:tcPr>
    </w:tblStylePr>
  </w:style>
  <w:style w:type="paragraph" w:customStyle="1" w:styleId="140">
    <w:name w:val="L 图表标题"/>
    <w:basedOn w:val="136"/>
    <w:link w:val="141"/>
    <w:qFormat/>
    <w:uiPriority w:val="0"/>
    <w:pPr>
      <w:spacing w:after="50" w:afterLines="50"/>
      <w:ind w:firstLine="0" w:firstLineChars="0"/>
      <w:jc w:val="center"/>
    </w:pPr>
    <w:rPr>
      <w:rFonts w:eastAsia="黑体"/>
      <w:b/>
      <w:sz w:val="21"/>
    </w:rPr>
  </w:style>
  <w:style w:type="character" w:customStyle="1" w:styleId="141">
    <w:name w:val="L 图表标题 Char"/>
    <w:basedOn w:val="137"/>
    <w:link w:val="140"/>
    <w:uiPriority w:val="0"/>
    <w:rPr>
      <w:rFonts w:ascii="Times New Roman" w:hAnsi="Times New Roman" w:eastAsia="黑体" w:cstheme="minorBidi"/>
      <w:b/>
      <w:color w:val="000000"/>
      <w:sz w:val="21"/>
      <w:szCs w:val="24"/>
    </w:rPr>
  </w:style>
  <w:style w:type="paragraph" w:customStyle="1" w:styleId="142">
    <w:name w:val="L2级"/>
    <w:basedOn w:val="3"/>
    <w:link w:val="143"/>
    <w:qFormat/>
    <w:uiPriority w:val="0"/>
    <w:pPr>
      <w:keepNext/>
      <w:pBdr>
        <w:top w:val="single" w:color="FFFFFF" w:themeColor="background1" w:sz="24" w:space="0"/>
        <w:left w:val="single" w:color="FFFFFF" w:themeColor="background1" w:sz="24" w:space="0"/>
        <w:bottom w:val="single" w:color="FFFFFF" w:themeColor="background1" w:sz="24" w:space="0"/>
        <w:right w:val="single" w:color="FFFFFF" w:themeColor="background1" w:sz="24" w:space="0"/>
      </w:pBdr>
      <w:shd w:val="clear" w:color="auto" w:fill="auto"/>
      <w:spacing w:before="156" w:beforeLines="50" w:after="156" w:afterLines="50" w:line="400" w:lineRule="atLeast"/>
    </w:pPr>
    <w:rPr>
      <w:rFonts w:eastAsia="黑体" w:asciiTheme="minorHAnsi" w:hAnsiTheme="minorHAnsi" w:cstheme="minorBidi"/>
      <w:b/>
      <w:spacing w:val="0"/>
      <w:sz w:val="30"/>
      <w:lang w:val="en-US"/>
    </w:rPr>
  </w:style>
  <w:style w:type="character" w:customStyle="1" w:styleId="143">
    <w:name w:val="L2级 Char"/>
    <w:basedOn w:val="36"/>
    <w:link w:val="142"/>
    <w:qFormat/>
    <w:uiPriority w:val="0"/>
    <w:rPr>
      <w:rFonts w:eastAsia="黑体" w:asciiTheme="minorHAnsi" w:hAnsiTheme="minorHAnsi" w:cstheme="minorBidi"/>
      <w:b/>
      <w:caps/>
      <w:sz w:val="30"/>
    </w:rPr>
  </w:style>
  <w:style w:type="paragraph" w:customStyle="1" w:styleId="144">
    <w:name w:val="正文L"/>
    <w:basedOn w:val="1"/>
    <w:link w:val="145"/>
    <w:uiPriority w:val="0"/>
    <w:pPr>
      <w:widowControl w:val="0"/>
      <w:spacing w:line="360" w:lineRule="auto"/>
      <w:ind w:firstLine="200" w:firstLineChars="200"/>
      <w:jc w:val="both"/>
    </w:pPr>
    <w:rPr>
      <w:rFonts w:ascii="Times New Roman" w:hAnsi="Times New Roman" w:eastAsiaTheme="minorEastAsia"/>
      <w:kern w:val="2"/>
      <w:sz w:val="24"/>
      <w:szCs w:val="24"/>
    </w:rPr>
  </w:style>
  <w:style w:type="character" w:customStyle="1" w:styleId="145">
    <w:name w:val="正文L Char"/>
    <w:basedOn w:val="36"/>
    <w:link w:val="144"/>
    <w:uiPriority w:val="0"/>
    <w:rPr>
      <w:rFonts w:ascii="Times New Roman" w:hAnsi="Times New Roman" w:eastAsiaTheme="minorEastAsia"/>
      <w:kern w:val="2"/>
      <w:sz w:val="24"/>
      <w:szCs w:val="24"/>
    </w:rPr>
  </w:style>
  <w:style w:type="paragraph" w:customStyle="1" w:styleId="146">
    <w:name w:val="3级标题"/>
    <w:basedOn w:val="144"/>
    <w:link w:val="147"/>
    <w:uiPriority w:val="0"/>
    <w:pPr>
      <w:spacing w:before="50" w:beforeLines="50" w:after="50" w:afterLines="50" w:line="400" w:lineRule="atLeast"/>
      <w:ind w:firstLine="0" w:firstLineChars="0"/>
      <w:outlineLvl w:val="2"/>
    </w:pPr>
    <w:rPr>
      <w:rFonts w:ascii="黑体" w:hAnsi="黑体" w:eastAsia="黑体"/>
      <w:b/>
      <w:sz w:val="28"/>
      <w:szCs w:val="28"/>
    </w:rPr>
  </w:style>
  <w:style w:type="character" w:customStyle="1" w:styleId="147">
    <w:name w:val="3级标题 Char"/>
    <w:basedOn w:val="145"/>
    <w:link w:val="146"/>
    <w:uiPriority w:val="0"/>
    <w:rPr>
      <w:rFonts w:ascii="黑体" w:hAnsi="黑体" w:eastAsia="黑体"/>
      <w:b/>
      <w:kern w:val="2"/>
      <w:sz w:val="28"/>
      <w:szCs w:val="28"/>
    </w:rPr>
  </w:style>
  <w:style w:type="paragraph" w:customStyle="1" w:styleId="148">
    <w:name w:val="表格文字"/>
    <w:basedOn w:val="119"/>
    <w:link w:val="149"/>
    <w:uiPriority w:val="0"/>
    <w:pPr>
      <w:widowControl w:val="0"/>
      <w:jc w:val="center"/>
    </w:pPr>
    <w:rPr>
      <w:rFonts w:eastAsiaTheme="minorEastAsia"/>
      <w:bCs/>
      <w:sz w:val="21"/>
    </w:rPr>
  </w:style>
  <w:style w:type="character" w:customStyle="1" w:styleId="149">
    <w:name w:val="表格文字 Char"/>
    <w:basedOn w:val="120"/>
    <w:link w:val="148"/>
    <w:uiPriority w:val="0"/>
    <w:rPr>
      <w:rFonts w:ascii="Times New Roman" w:hAnsi="Times New Roman" w:cs="Times New Roman" w:eastAsiaTheme="minorEastAsia"/>
      <w:bCs/>
      <w:sz w:val="21"/>
      <w:szCs w:val="18"/>
      <w:lang w:val="zh-CN" w:eastAsia="zh-CN"/>
    </w:rPr>
  </w:style>
  <w:style w:type="paragraph" w:customStyle="1" w:styleId="150">
    <w:name w:val="4级标题"/>
    <w:basedOn w:val="144"/>
    <w:link w:val="151"/>
    <w:qFormat/>
    <w:uiPriority w:val="0"/>
    <w:pPr>
      <w:keepNext/>
      <w:spacing w:before="156" w:beforeLines="50" w:after="156" w:line="300" w:lineRule="auto"/>
      <w:ind w:firstLine="482"/>
      <w:outlineLvl w:val="3"/>
    </w:pPr>
    <w:rPr>
      <w:rFonts w:eastAsia="黑体"/>
      <w:b/>
    </w:rPr>
  </w:style>
  <w:style w:type="character" w:customStyle="1" w:styleId="151">
    <w:name w:val="4级标题 Char"/>
    <w:basedOn w:val="145"/>
    <w:link w:val="150"/>
    <w:uiPriority w:val="0"/>
    <w:rPr>
      <w:rFonts w:ascii="Times New Roman" w:hAnsi="Times New Roman" w:eastAsia="黑体"/>
      <w:b/>
      <w:kern w:val="2"/>
      <w:sz w:val="24"/>
      <w:szCs w:val="24"/>
    </w:rPr>
  </w:style>
  <w:style w:type="paragraph" w:customStyle="1" w:styleId="152">
    <w:name w:val="L3级"/>
    <w:basedOn w:val="1"/>
    <w:link w:val="153"/>
    <w:qFormat/>
    <w:uiPriority w:val="99"/>
    <w:pPr>
      <w:keepNext/>
      <w:spacing w:before="156" w:beforeLines="50" w:after="163" w:line="400" w:lineRule="atLeast"/>
      <w:outlineLvl w:val="2"/>
    </w:pPr>
    <w:rPr>
      <w:rFonts w:eastAsia="黑体" w:asciiTheme="minorHAnsi" w:hAnsiTheme="minorHAnsi" w:cstheme="minorBidi"/>
      <w:b/>
      <w:sz w:val="28"/>
    </w:rPr>
  </w:style>
  <w:style w:type="character" w:customStyle="1" w:styleId="153">
    <w:name w:val="L3级 Char"/>
    <w:basedOn w:val="36"/>
    <w:link w:val="152"/>
    <w:uiPriority w:val="0"/>
    <w:rPr>
      <w:rFonts w:eastAsia="黑体" w:asciiTheme="minorHAnsi" w:hAnsiTheme="minorHAnsi" w:cstheme="minorBidi"/>
      <w:b/>
      <w:sz w:val="28"/>
    </w:rPr>
  </w:style>
  <w:style w:type="paragraph" w:customStyle="1" w:styleId="154">
    <w:name w:val="修订1"/>
    <w:hidden/>
    <w:semiHidden/>
    <w:uiPriority w:val="99"/>
    <w:rPr>
      <w:rFonts w:ascii="Times New Roman" w:hAnsi="Times New Roman" w:eastAsia="宋体" w:cs="Times New Roman"/>
      <w:kern w:val="2"/>
      <w:sz w:val="24"/>
      <w:szCs w:val="24"/>
      <w:lang w:val="en-US" w:eastAsia="zh-CN" w:bidi="ar-SA"/>
    </w:rPr>
  </w:style>
  <w:style w:type="paragraph" w:customStyle="1" w:styleId="155">
    <w:name w:val="正文内容"/>
    <w:basedOn w:val="1"/>
    <w:link w:val="156"/>
    <w:uiPriority w:val="0"/>
    <w:pPr>
      <w:spacing w:line="360" w:lineRule="auto"/>
      <w:ind w:firstLine="480" w:firstLineChars="200"/>
      <w:jc w:val="both"/>
    </w:pPr>
    <w:rPr>
      <w:rFonts w:ascii="Times New Roman" w:hAnsi="Times New Roman" w:cs="宋体" w:eastAsiaTheme="minorEastAsia"/>
      <w:sz w:val="24"/>
      <w:szCs w:val="21"/>
    </w:rPr>
  </w:style>
  <w:style w:type="character" w:customStyle="1" w:styleId="156">
    <w:name w:val="正文内容 Char"/>
    <w:basedOn w:val="36"/>
    <w:link w:val="155"/>
    <w:uiPriority w:val="0"/>
    <w:rPr>
      <w:rFonts w:ascii="Times New Roman" w:hAnsi="Times New Roman" w:cs="宋体" w:eastAsiaTheme="minorEastAsia"/>
      <w:sz w:val="24"/>
      <w:szCs w:val="21"/>
    </w:rPr>
  </w:style>
  <w:style w:type="paragraph" w:customStyle="1" w:styleId="157">
    <w:name w:val="图表的标题"/>
    <w:basedOn w:val="1"/>
    <w:link w:val="158"/>
    <w:uiPriority w:val="0"/>
    <w:pPr>
      <w:widowControl w:val="0"/>
      <w:spacing w:before="156" w:beforeLines="50" w:after="156" w:afterLines="50"/>
      <w:jc w:val="center"/>
    </w:pPr>
    <w:rPr>
      <w:rFonts w:ascii="黑体" w:hAnsi="黑体" w:eastAsia="黑体"/>
      <w:b/>
      <w:bCs/>
      <w:kern w:val="2"/>
      <w:sz w:val="21"/>
      <w:szCs w:val="21"/>
    </w:rPr>
  </w:style>
  <w:style w:type="character" w:customStyle="1" w:styleId="158">
    <w:name w:val="图表的标题 Char"/>
    <w:basedOn w:val="36"/>
    <w:link w:val="157"/>
    <w:uiPriority w:val="0"/>
    <w:rPr>
      <w:rFonts w:ascii="黑体" w:hAnsi="黑体" w:eastAsia="黑体"/>
      <w:b/>
      <w:bCs/>
      <w:kern w:val="2"/>
      <w:sz w:val="21"/>
      <w:szCs w:val="21"/>
    </w:rPr>
  </w:style>
  <w:style w:type="character" w:customStyle="1" w:styleId="159">
    <w:name w:val="济南标题4 Char"/>
    <w:basedOn w:val="36"/>
    <w:link w:val="160"/>
    <w:locked/>
    <w:uiPriority w:val="0"/>
    <w:rPr>
      <w:rFonts w:ascii="Times New Roman" w:hAnsi="Times New Roman" w:eastAsia="黑体" w:cstheme="majorBidi"/>
      <w:b/>
      <w:bCs/>
      <w:sz w:val="25"/>
      <w:szCs w:val="25"/>
    </w:rPr>
  </w:style>
  <w:style w:type="paragraph" w:customStyle="1" w:styleId="160">
    <w:name w:val="济南标题4"/>
    <w:basedOn w:val="1"/>
    <w:link w:val="159"/>
    <w:uiPriority w:val="0"/>
    <w:pPr>
      <w:spacing w:before="280" w:afterLines="50" w:line="376" w:lineRule="auto"/>
      <w:ind w:firstLine="502" w:firstLineChars="200"/>
      <w:outlineLvl w:val="3"/>
    </w:pPr>
    <w:rPr>
      <w:rFonts w:ascii="Times New Roman" w:hAnsi="Times New Roman" w:eastAsia="黑体" w:cstheme="majorBidi"/>
      <w:b/>
      <w:bCs/>
      <w:sz w:val="25"/>
      <w:szCs w:val="25"/>
    </w:rPr>
  </w:style>
  <w:style w:type="paragraph" w:customStyle="1" w:styleId="161">
    <w:name w:val="样例-图表标题"/>
    <w:basedOn w:val="1"/>
    <w:link w:val="162"/>
    <w:uiPriority w:val="0"/>
    <w:pPr>
      <w:adjustRightInd w:val="0"/>
      <w:snapToGrid w:val="0"/>
      <w:spacing w:line="360" w:lineRule="auto"/>
      <w:jc w:val="center"/>
    </w:pPr>
    <w:rPr>
      <w:rFonts w:ascii="Times New Roman" w:hAnsi="Times New Roman" w:eastAsia="黑体"/>
      <w:b/>
      <w:sz w:val="21"/>
      <w:szCs w:val="21"/>
      <w:lang w:val="zh-CN"/>
    </w:rPr>
  </w:style>
  <w:style w:type="character" w:customStyle="1" w:styleId="162">
    <w:name w:val="样例-图表标题 Char"/>
    <w:basedOn w:val="36"/>
    <w:link w:val="161"/>
    <w:uiPriority w:val="0"/>
    <w:rPr>
      <w:rFonts w:ascii="Times New Roman" w:hAnsi="Times New Roman" w:eastAsia="黑体"/>
      <w:b/>
      <w:sz w:val="21"/>
      <w:szCs w:val="21"/>
      <w:lang w:val="zh-CN"/>
    </w:rPr>
  </w:style>
  <w:style w:type="paragraph" w:customStyle="1" w:styleId="163">
    <w:name w:val="图标标题"/>
    <w:basedOn w:val="86"/>
    <w:link w:val="164"/>
    <w:qFormat/>
    <w:uiPriority w:val="0"/>
    <w:pPr>
      <w:widowControl/>
      <w:spacing w:after="163" w:line="240" w:lineRule="auto"/>
      <w:ind w:firstLine="0" w:firstLineChars="0"/>
    </w:pPr>
    <w:rPr>
      <w:rFonts w:eastAsia="黑体"/>
      <w:b/>
      <w:lang w:val="en-US"/>
    </w:rPr>
  </w:style>
  <w:style w:type="character" w:customStyle="1" w:styleId="164">
    <w:name w:val="图标标题 Char"/>
    <w:basedOn w:val="85"/>
    <w:link w:val="163"/>
    <w:uiPriority w:val="0"/>
    <w:rPr>
      <w:rFonts w:ascii="Times New Roman" w:hAnsi="Times New Roman" w:eastAsia="黑体" w:cs="Times New Roman"/>
      <w:b/>
      <w:kern w:val="2"/>
      <w:sz w:val="21"/>
      <w:szCs w:val="21"/>
    </w:rPr>
  </w:style>
  <w:style w:type="paragraph" w:customStyle="1" w:styleId="165">
    <w:name w:val="目录"/>
    <w:basedOn w:val="1"/>
    <w:link w:val="166"/>
    <w:uiPriority w:val="0"/>
    <w:pPr>
      <w:pageBreakBefore/>
      <w:shd w:val="clear" w:color="auto" w:fill="5B9BD5" w:themeFill="accent5"/>
      <w:spacing w:after="100" w:afterLines="100" w:line="400" w:lineRule="atLeast"/>
      <w:jc w:val="center"/>
    </w:pPr>
    <w:rPr>
      <w:rFonts w:eastAsia="黑体" w:asciiTheme="minorHAnsi" w:hAnsiTheme="minorHAnsi" w:cstheme="minorBidi"/>
      <w:b/>
      <w:caps/>
      <w:color w:val="FFFFFF" w:themeColor="background1"/>
      <w:sz w:val="32"/>
      <w:szCs w:val="32"/>
      <w14:textFill>
        <w14:solidFill>
          <w14:schemeClr w14:val="bg1"/>
        </w14:solidFill>
      </w14:textFill>
    </w:rPr>
  </w:style>
  <w:style w:type="character" w:customStyle="1" w:styleId="166">
    <w:name w:val="目录 Char"/>
    <w:basedOn w:val="36"/>
    <w:link w:val="165"/>
    <w:uiPriority w:val="0"/>
    <w:rPr>
      <w:rFonts w:eastAsia="黑体" w:asciiTheme="minorHAnsi" w:hAnsiTheme="minorHAnsi" w:cstheme="minorBidi"/>
      <w:b/>
      <w:caps/>
      <w:color w:val="FFFFFF" w:themeColor="background1"/>
      <w:sz w:val="32"/>
      <w:szCs w:val="32"/>
      <w:shd w:val="clear" w:color="auto" w:fill="5B9BD5" w:themeFill="accent5"/>
      <w14:textFill>
        <w14:solidFill>
          <w14:schemeClr w14:val="bg1"/>
        </w14:solidFill>
      </w14:textFill>
    </w:rPr>
  </w:style>
  <w:style w:type="paragraph" w:customStyle="1" w:styleId="167">
    <w:name w:val="篇名"/>
    <w:basedOn w:val="88"/>
    <w:link w:val="168"/>
    <w:uiPriority w:val="0"/>
    <w:pPr>
      <w:spacing w:after="312"/>
    </w:pPr>
    <w:rPr>
      <w:color w:val="FFFFFF"/>
      <w:sz w:val="36"/>
    </w:rPr>
  </w:style>
  <w:style w:type="character" w:customStyle="1" w:styleId="168">
    <w:name w:val="篇名 Char"/>
    <w:basedOn w:val="166"/>
    <w:link w:val="167"/>
    <w:uiPriority w:val="0"/>
    <w:rPr>
      <w:rFonts w:ascii="黑体" w:hAnsi="黑体" w:eastAsia="黑体" w:cstheme="minorBidi"/>
      <w:b w:val="0"/>
      <w:color w:val="FFFFFF"/>
      <w:spacing w:val="15"/>
      <w:kern w:val="44"/>
      <w:sz w:val="36"/>
      <w:szCs w:val="32"/>
      <w:shd w:val="clear" w:color="auto" w:fill="0F6FC6"/>
      <w:lang w:val="zh-CN"/>
    </w:rPr>
  </w:style>
  <w:style w:type="paragraph" w:customStyle="1" w:styleId="169">
    <w:name w:val="L 1级"/>
    <w:basedOn w:val="1"/>
    <w:link w:val="170"/>
    <w:qFormat/>
    <w:uiPriority w:val="0"/>
    <w:pPr>
      <w:pageBreakBefore/>
      <w:shd w:val="clear" w:color="auto" w:fill="4472C4" w:themeFill="accent1"/>
      <w:spacing w:before="50" w:beforeLines="50" w:after="100" w:afterLines="100" w:line="400" w:lineRule="atLeast"/>
      <w:jc w:val="center"/>
      <w:outlineLvl w:val="0"/>
    </w:pPr>
    <w:rPr>
      <w:rFonts w:eastAsia="黑体" w:asciiTheme="minorHAnsi" w:hAnsiTheme="minorHAnsi" w:cstheme="minorBidi"/>
      <w:b/>
      <w:caps/>
      <w:color w:val="FFFFFF"/>
      <w:sz w:val="32"/>
      <w:szCs w:val="32"/>
    </w:rPr>
  </w:style>
  <w:style w:type="character" w:customStyle="1" w:styleId="170">
    <w:name w:val="L 1级 Char"/>
    <w:basedOn w:val="36"/>
    <w:link w:val="169"/>
    <w:uiPriority w:val="0"/>
    <w:rPr>
      <w:rFonts w:eastAsia="黑体" w:asciiTheme="minorHAnsi" w:hAnsiTheme="minorHAnsi" w:cstheme="minorBidi"/>
      <w:b/>
      <w:caps/>
      <w:color w:val="FFFFFF"/>
      <w:sz w:val="32"/>
      <w:szCs w:val="32"/>
      <w:shd w:val="clear" w:color="auto" w:fill="4472C4" w:themeFill="accent1"/>
    </w:rPr>
  </w:style>
  <w:style w:type="table" w:customStyle="1" w:styleId="171">
    <w:name w:val="网格表 1 浅色 - 着色 11"/>
    <w:basedOn w:val="32"/>
    <w:uiPriority w:val="46"/>
    <w:tblPr>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Pr>
    <w:tblStylePr w:type="firstRow">
      <w:rPr>
        <w:b/>
        <w:bCs/>
      </w:rPr>
      <w:tcPr>
        <w:tcBorders>
          <w:bottom w:val="single" w:color="8EAADB" w:themeColor="accent1" w:themeTint="99" w:sz="12" w:space="0"/>
        </w:tcBorders>
      </w:tcPr>
    </w:tblStylePr>
    <w:tblStylePr w:type="lastRow">
      <w:rPr>
        <w:b/>
        <w:bCs/>
      </w:rPr>
      <w:tcPr>
        <w:tcBorders>
          <w:top w:val="double" w:color="8EAADB" w:themeColor="accent1" w:themeTint="99" w:sz="2" w:space="0"/>
        </w:tcBorders>
      </w:tcPr>
    </w:tblStylePr>
    <w:tblStylePr w:type="firstCol">
      <w:rPr>
        <w:b/>
        <w:bCs/>
      </w:rPr>
    </w:tblStylePr>
    <w:tblStylePr w:type="lastCol">
      <w:rPr>
        <w:b/>
        <w:bCs/>
      </w:rPr>
    </w:tblStylePr>
  </w:style>
  <w:style w:type="paragraph" w:customStyle="1" w:styleId="172">
    <w:name w:val="图表题"/>
    <w:basedOn w:val="12"/>
    <w:link w:val="173"/>
    <w:uiPriority w:val="0"/>
    <w:pPr>
      <w:spacing w:before="0" w:beforeLines="0" w:after="0" w:afterLines="0"/>
    </w:pPr>
  </w:style>
  <w:style w:type="character" w:customStyle="1" w:styleId="173">
    <w:name w:val="图表题 Char"/>
    <w:basedOn w:val="54"/>
    <w:link w:val="172"/>
    <w:uiPriority w:val="0"/>
    <w:rPr>
      <w:rFonts w:ascii="Times New Roman" w:hAnsi="Times New Roman" w:eastAsia="黑体"/>
      <w:sz w:val="21"/>
      <w:szCs w:val="16"/>
    </w:rPr>
  </w:style>
  <w:style w:type="paragraph" w:customStyle="1" w:styleId="174">
    <w:name w:val="TOC 标题2"/>
    <w:basedOn w:val="2"/>
    <w:next w:val="1"/>
    <w:unhideWhenUsed/>
    <w:qFormat/>
    <w:uiPriority w:val="39"/>
    <w:pPr>
      <w:keepNext/>
      <w:keepLines/>
      <w:pBdr>
        <w:top w:val="none" w:color="auto" w:sz="0" w:space="0"/>
        <w:left w:val="none" w:color="auto" w:sz="0" w:space="0"/>
        <w:bottom w:val="none" w:color="auto" w:sz="0" w:space="0"/>
        <w:right w:val="none" w:color="auto" w:sz="0" w:space="0"/>
      </w:pBdr>
      <w:shd w:val="clear" w:color="auto" w:fill="auto"/>
      <w:spacing w:before="240" w:line="259" w:lineRule="auto"/>
      <w:outlineLvl w:val="9"/>
    </w:pPr>
    <w:rPr>
      <w:rFonts w:asciiTheme="majorHAnsi" w:hAnsiTheme="majorHAnsi" w:eastAsiaTheme="majorEastAsia" w:cstheme="majorBidi"/>
      <w:caps w:val="0"/>
      <w:color w:val="2F5597" w:themeColor="accent1" w:themeShade="BF"/>
      <w:spacing w:val="0"/>
      <w:sz w:val="32"/>
      <w:szCs w:val="32"/>
      <w:lang w:val="en-US"/>
    </w:rPr>
  </w:style>
  <w:style w:type="paragraph" w:customStyle="1" w:styleId="175">
    <w:name w:val="样例-二级标题"/>
    <w:basedOn w:val="1"/>
    <w:link w:val="176"/>
    <w:uiPriority w:val="0"/>
    <w:pPr>
      <w:tabs>
        <w:tab w:val="left" w:pos="4170"/>
      </w:tabs>
      <w:spacing w:before="156" w:beforeLines="50" w:after="156" w:afterLines="50" w:line="400" w:lineRule="atLeast"/>
      <w:outlineLvl w:val="1"/>
    </w:pPr>
    <w:rPr>
      <w:rFonts w:ascii="Times New Roman" w:hAnsi="Times New Roman" w:eastAsia="黑体"/>
      <w:b/>
      <w:bCs/>
      <w:color w:val="000000"/>
      <w:sz w:val="30"/>
      <w:szCs w:val="30"/>
      <w:lang w:val="zh-CN"/>
    </w:rPr>
  </w:style>
  <w:style w:type="character" w:customStyle="1" w:styleId="176">
    <w:name w:val="样例-二级标题 Char"/>
    <w:basedOn w:val="36"/>
    <w:link w:val="175"/>
    <w:uiPriority w:val="0"/>
    <w:rPr>
      <w:rFonts w:ascii="Times New Roman" w:hAnsi="Times New Roman" w:eastAsia="黑体"/>
      <w:b/>
      <w:bCs/>
      <w:color w:val="000000"/>
      <w:sz w:val="30"/>
      <w:szCs w:val="30"/>
      <w:lang w:val="zh-CN"/>
    </w:rPr>
  </w:style>
  <w:style w:type="paragraph" w:customStyle="1" w:styleId="177">
    <w:name w:val="脚注样例"/>
    <w:link w:val="178"/>
    <w:qFormat/>
    <w:uiPriority w:val="0"/>
    <w:rPr>
      <w:rFonts w:ascii="Times New Roman" w:hAnsi="Times New Roman" w:eastAsia="宋体" w:cstheme="minorBidi"/>
      <w:caps/>
      <w:sz w:val="18"/>
      <w:lang w:val="en-US" w:eastAsia="zh-CN" w:bidi="ar-SA"/>
    </w:rPr>
  </w:style>
  <w:style w:type="character" w:customStyle="1" w:styleId="178">
    <w:name w:val="脚注样例 Char"/>
    <w:basedOn w:val="36"/>
    <w:link w:val="177"/>
    <w:uiPriority w:val="0"/>
    <w:rPr>
      <w:rFonts w:ascii="Times New Roman" w:hAnsi="Times New Roman" w:cstheme="minorBidi"/>
      <w:caps/>
      <w:sz w:val="18"/>
    </w:rPr>
  </w:style>
  <w:style w:type="paragraph" w:customStyle="1" w:styleId="179">
    <w:name w:val="报告正文样例"/>
    <w:link w:val="180"/>
    <w:qFormat/>
    <w:uiPriority w:val="0"/>
    <w:pPr>
      <w:spacing w:line="360" w:lineRule="auto"/>
      <w:ind w:firstLine="200" w:firstLineChars="200"/>
      <w:jc w:val="both"/>
    </w:pPr>
    <w:rPr>
      <w:rFonts w:ascii="Times New Roman" w:hAnsi="Times New Roman" w:eastAsia="宋体" w:cs="Times New Roman"/>
      <w:bCs/>
      <w:color w:val="000000"/>
      <w:sz w:val="24"/>
      <w:szCs w:val="30"/>
      <w:lang w:val="zh-CN" w:eastAsia="zh-CN" w:bidi="ar-SA"/>
    </w:rPr>
  </w:style>
  <w:style w:type="character" w:customStyle="1" w:styleId="180">
    <w:name w:val="报告正文样例 Char"/>
    <w:basedOn w:val="36"/>
    <w:link w:val="179"/>
    <w:uiPriority w:val="0"/>
    <w:rPr>
      <w:rFonts w:ascii="Times New Roman" w:hAnsi="Times New Roman"/>
      <w:bCs/>
      <w:color w:val="000000"/>
      <w:sz w:val="24"/>
      <w:szCs w:val="30"/>
      <w:lang w:val="zh-CN"/>
    </w:rPr>
  </w:style>
  <w:style w:type="paragraph" w:customStyle="1" w:styleId="181">
    <w:name w:val="图表标题样例"/>
    <w:link w:val="182"/>
    <w:qFormat/>
    <w:uiPriority w:val="0"/>
    <w:pPr>
      <w:spacing w:before="50" w:beforeLines="50" w:after="50" w:afterLines="50" w:line="360" w:lineRule="auto"/>
      <w:jc w:val="center"/>
    </w:pPr>
    <w:rPr>
      <w:rFonts w:ascii="Times New Roman" w:hAnsi="Times New Roman" w:eastAsia="黑体" w:cs="Times New Roman"/>
      <w:b/>
      <w:caps/>
      <w:color w:val="4472C4" w:themeColor="accent1"/>
      <w:sz w:val="21"/>
      <w:szCs w:val="36"/>
      <w:lang w:val="zh-CN" w:eastAsia="zh-CN" w:bidi="ar-SA"/>
      <w14:textFill>
        <w14:solidFill>
          <w14:schemeClr w14:val="accent1"/>
        </w14:solidFill>
      </w14:textFill>
    </w:rPr>
  </w:style>
  <w:style w:type="character" w:customStyle="1" w:styleId="182">
    <w:name w:val="图表标题样例 Char"/>
    <w:basedOn w:val="116"/>
    <w:link w:val="181"/>
    <w:qFormat/>
    <w:uiPriority w:val="0"/>
    <w:rPr>
      <w:rFonts w:ascii="黑体" w:hAnsi="黑体" w:eastAsia="黑体" w:cs="Times New Roman"/>
      <w:caps/>
      <w:color w:val="4472C4" w:themeColor="accent1"/>
      <w:sz w:val="21"/>
      <w:szCs w:val="36"/>
      <w:lang w:val="zh-CN" w:eastAsia="zh-CN"/>
      <w14:textFill>
        <w14:solidFill>
          <w14:schemeClr w14:val="accent1"/>
        </w14:solidFill>
      </w14:textFill>
    </w:rPr>
  </w:style>
  <w:style w:type="table" w:customStyle="1" w:styleId="183">
    <w:name w:val="网格表 4 - 着色 17"/>
    <w:basedOn w:val="32"/>
    <w:uiPriority w:val="49"/>
    <w:rPr>
      <w:rFonts w:ascii="Calibri" w:hAnsi="Calibri"/>
      <w:kern w:val="2"/>
      <w:sz w:val="21"/>
      <w:szCs w:val="22"/>
    </w:rPr>
    <w:tblPr>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Pr>
    <w:tblStylePr w:type="firstRow">
      <w:rPr>
        <w:b/>
        <w:bCs/>
        <w:color w:val="FFFFFF"/>
      </w:rPr>
      <w:tcPr>
        <w:tcBorders>
          <w:top w:val="single" w:color="5B9BD5" w:sz="4" w:space="0"/>
          <w:left w:val="single" w:color="5B9BD5" w:sz="4" w:space="0"/>
          <w:bottom w:val="single" w:color="5B9BD5" w:sz="4" w:space="0"/>
          <w:right w:val="single" w:color="5B9BD5" w:sz="4" w:space="0"/>
          <w:insideH w:val="nil"/>
          <w:insideV w:val="nil"/>
        </w:tcBorders>
        <w:shd w:val="clear" w:color="auto" w:fill="5B9BD5"/>
      </w:tcPr>
    </w:tblStylePr>
    <w:tblStylePr w:type="lastRow">
      <w:rPr>
        <w:b/>
        <w:bCs/>
      </w:rPr>
      <w:tcPr>
        <w:tcBorders>
          <w:top w:val="double" w:color="5B9BD5" w:sz="4" w:space="0"/>
        </w:tcBorders>
      </w:tcPr>
    </w:tblStylePr>
    <w:tblStylePr w:type="firstCol">
      <w:rPr>
        <w:b/>
        <w:bCs/>
      </w:rPr>
    </w:tblStylePr>
    <w:tblStylePr w:type="lastCol">
      <w:rPr>
        <w:b/>
        <w:bCs/>
      </w:rPr>
    </w:tblStylePr>
    <w:tblStylePr w:type="band1Vert">
      <w:tcPr>
        <w:shd w:val="clear" w:color="auto" w:fill="DEEAF6"/>
      </w:tcPr>
    </w:tblStylePr>
    <w:tblStylePr w:type="band1Horz">
      <w:tcPr>
        <w:shd w:val="clear" w:color="auto" w:fill="DEEAF6"/>
      </w:tcPr>
    </w:tblStylePr>
  </w:style>
  <w:style w:type="paragraph" w:customStyle="1" w:styleId="184">
    <w:name w:val="四级标题样例"/>
    <w:link w:val="185"/>
    <w:qFormat/>
    <w:uiPriority w:val="0"/>
    <w:pPr>
      <w:spacing w:before="50" w:beforeLines="50" w:after="50" w:afterLines="50" w:line="400" w:lineRule="atLeast"/>
      <w:ind w:firstLine="150" w:firstLineChars="150"/>
    </w:pPr>
    <w:rPr>
      <w:rFonts w:ascii="Times New Roman" w:hAnsi="Times New Roman" w:eastAsia="黑体" w:cs="Times New Roman"/>
      <w:b/>
      <w:bCs/>
      <w:sz w:val="24"/>
      <w:szCs w:val="30"/>
      <w:lang w:val="en-US" w:eastAsia="zh-CN" w:bidi="ar-SA"/>
    </w:rPr>
  </w:style>
  <w:style w:type="character" w:customStyle="1" w:styleId="185">
    <w:name w:val="四级标题样例 Char"/>
    <w:basedOn w:val="36"/>
    <w:link w:val="184"/>
    <w:uiPriority w:val="0"/>
    <w:rPr>
      <w:rFonts w:ascii="Times New Roman" w:hAnsi="Times New Roman" w:eastAsia="黑体"/>
      <w:b/>
      <w:bCs/>
      <w:sz w:val="24"/>
      <w:szCs w:val="30"/>
    </w:rPr>
  </w:style>
  <w:style w:type="paragraph" w:customStyle="1" w:styleId="186">
    <w:name w:val="表格文字1"/>
    <w:basedOn w:val="1"/>
    <w:link w:val="187"/>
    <w:qFormat/>
    <w:uiPriority w:val="0"/>
    <w:pPr>
      <w:widowControl w:val="0"/>
      <w:jc w:val="center"/>
    </w:pPr>
    <w:rPr>
      <w:rFonts w:ascii="Times New Roman" w:hAnsi="Times New Roman"/>
      <w:bCs/>
      <w:sz w:val="21"/>
      <w:szCs w:val="21"/>
    </w:rPr>
  </w:style>
  <w:style w:type="character" w:customStyle="1" w:styleId="187">
    <w:name w:val="表格文字1 Char"/>
    <w:basedOn w:val="36"/>
    <w:link w:val="186"/>
    <w:uiPriority w:val="0"/>
    <w:rPr>
      <w:rFonts w:ascii="Times New Roman" w:hAnsi="Times New Roman"/>
      <w:bCs/>
      <w:sz w:val="21"/>
      <w:szCs w:val="21"/>
    </w:rPr>
  </w:style>
  <w:style w:type="table" w:customStyle="1" w:styleId="188">
    <w:name w:val="网格表 5 深色 - 着色 31"/>
    <w:basedOn w:val="32"/>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189">
    <w:name w:val="网格表 4 - 着色 16"/>
    <w:basedOn w:val="32"/>
    <w:uiPriority w:val="49"/>
    <w:rPr>
      <w:rFonts w:ascii="Calibri" w:hAnsi="Calibri"/>
      <w:kern w:val="2"/>
      <w:sz w:val="21"/>
      <w:szCs w:val="22"/>
    </w:rPr>
    <w:tblPr>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Pr>
    <w:tblStylePr w:type="firstRow">
      <w:rPr>
        <w:b/>
        <w:bCs/>
        <w:color w:val="FFFFFF"/>
      </w:rPr>
      <w:tcPr>
        <w:tcBorders>
          <w:top w:val="single" w:color="5B9BD5" w:sz="4" w:space="0"/>
          <w:left w:val="single" w:color="5B9BD5" w:sz="4" w:space="0"/>
          <w:bottom w:val="single" w:color="5B9BD5" w:sz="4" w:space="0"/>
          <w:right w:val="single" w:color="5B9BD5" w:sz="4" w:space="0"/>
          <w:insideH w:val="nil"/>
          <w:insideV w:val="nil"/>
        </w:tcBorders>
        <w:shd w:val="clear" w:color="auto" w:fill="5B9BD5"/>
      </w:tcPr>
    </w:tblStylePr>
    <w:tblStylePr w:type="lastRow">
      <w:rPr>
        <w:b/>
        <w:bCs/>
      </w:rPr>
      <w:tcPr>
        <w:tcBorders>
          <w:top w:val="double" w:color="5B9BD5" w:sz="4" w:space="0"/>
        </w:tcBorders>
      </w:tcPr>
    </w:tblStylePr>
    <w:tblStylePr w:type="firstCol">
      <w:rPr>
        <w:b/>
        <w:bCs/>
      </w:rPr>
    </w:tblStylePr>
    <w:tblStylePr w:type="lastCol">
      <w:rPr>
        <w:b/>
        <w:bCs/>
      </w:rPr>
    </w:tblStylePr>
    <w:tblStylePr w:type="band1Vert">
      <w:tcPr>
        <w:shd w:val="clear" w:color="auto" w:fill="DEEAF6"/>
      </w:tcPr>
    </w:tblStylePr>
    <w:tblStylePr w:type="band1Horz">
      <w:tcPr>
        <w:shd w:val="clear" w:color="auto" w:fill="DEEAF6"/>
      </w:tcPr>
    </w:tblStylePr>
  </w:style>
  <w:style w:type="table" w:customStyle="1" w:styleId="190">
    <w:name w:val="网格表 41"/>
    <w:basedOn w:val="32"/>
    <w:uiPriority w:val="49"/>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paragraph" w:customStyle="1" w:styleId="191">
    <w:name w:val="-图表标注"/>
    <w:basedOn w:val="132"/>
    <w:link w:val="192"/>
    <w:uiPriority w:val="0"/>
  </w:style>
  <w:style w:type="character" w:customStyle="1" w:styleId="192">
    <w:name w:val="-图表标注 Char"/>
    <w:basedOn w:val="133"/>
    <w:link w:val="191"/>
    <w:uiPriority w:val="0"/>
    <w:rPr>
      <w:rFonts w:ascii="Times New Roman" w:hAnsi="Times New Roman" w:eastAsiaTheme="minorEastAsia" w:cstheme="minorBidi"/>
      <w:color w:val="4472C4" w:themeColor="accent1"/>
      <w:sz w:val="18"/>
      <w14:textFill>
        <w14:solidFill>
          <w14:schemeClr w14:val="accent1"/>
        </w14:solidFill>
      </w14:textFill>
    </w:rPr>
  </w:style>
  <w:style w:type="character" w:customStyle="1" w:styleId="193">
    <w:name w:val="样例-正文 Char"/>
    <w:basedOn w:val="36"/>
    <w:link w:val="194"/>
    <w:qFormat/>
    <w:locked/>
    <w:uiPriority w:val="0"/>
    <w:rPr>
      <w:rFonts w:ascii="Times New Roman" w:hAnsi="Times New Roman"/>
      <w:bCs/>
      <w:kern w:val="44"/>
      <w:sz w:val="24"/>
      <w:szCs w:val="32"/>
    </w:rPr>
  </w:style>
  <w:style w:type="paragraph" w:customStyle="1" w:styleId="194">
    <w:name w:val="样例-正文"/>
    <w:basedOn w:val="1"/>
    <w:link w:val="193"/>
    <w:qFormat/>
    <w:uiPriority w:val="0"/>
    <w:pPr>
      <w:spacing w:beforeLines="50" w:afterLines="50" w:line="360" w:lineRule="auto"/>
      <w:ind w:firstLine="200" w:firstLineChars="200"/>
      <w:jc w:val="both"/>
    </w:pPr>
    <w:rPr>
      <w:rFonts w:ascii="Times New Roman" w:hAnsi="Times New Roman"/>
      <w:bCs/>
      <w:kern w:val="44"/>
      <w:sz w:val="24"/>
      <w:szCs w:val="32"/>
    </w:rPr>
  </w:style>
  <w:style w:type="paragraph" w:customStyle="1" w:styleId="195">
    <w:name w:val="-正文"/>
    <w:basedOn w:val="64"/>
    <w:link w:val="196"/>
    <w:uiPriority w:val="0"/>
    <w:pPr>
      <w:spacing w:before="156" w:after="156"/>
      <w:jc w:val="both"/>
    </w:pPr>
    <w:rPr>
      <w:rFonts w:ascii="Times New Roman" w:hAnsi="Times New Roman" w:cs="宋体"/>
    </w:rPr>
  </w:style>
  <w:style w:type="character" w:customStyle="1" w:styleId="196">
    <w:name w:val="-正文 Char"/>
    <w:basedOn w:val="63"/>
    <w:link w:val="195"/>
    <w:uiPriority w:val="0"/>
    <w:rPr>
      <w:rFonts w:ascii="Times New Roman" w:hAnsi="Times New Roman" w:cs="宋体"/>
      <w:color w:val="000000"/>
      <w:kern w:val="0"/>
      <w:sz w:val="24"/>
      <w:szCs w:val="21"/>
      <w:lang w:val="zh-CN"/>
    </w:rPr>
  </w:style>
  <w:style w:type="table" w:customStyle="1" w:styleId="197">
    <w:name w:val="清单表 6 彩色 - 着色 11"/>
    <w:basedOn w:val="32"/>
    <w:uiPriority w:val="51"/>
    <w:rPr>
      <w:rFonts w:asciiTheme="minorHAnsi" w:hAnsiTheme="minorHAnsi" w:eastAsiaTheme="minorEastAsia" w:cstheme="minorBidi"/>
      <w:color w:val="2F5597" w:themeColor="accent1" w:themeShade="BF"/>
      <w:kern w:val="2"/>
      <w:sz w:val="21"/>
      <w:szCs w:val="22"/>
    </w:rPr>
    <w:tblPr>
      <w:tblBorders>
        <w:top w:val="single" w:color="4472C4" w:themeColor="accent1" w:sz="4" w:space="0"/>
        <w:bottom w:val="single" w:color="4472C4" w:themeColor="accent1" w:sz="4" w:space="0"/>
      </w:tblBorders>
    </w:tblPr>
    <w:tblStylePr w:type="firstRow">
      <w:rPr>
        <w:b/>
        <w:bCs/>
      </w:rPr>
      <w:tcPr>
        <w:tcBorders>
          <w:bottom w:val="single" w:color="4472C4" w:themeColor="accent1" w:sz="4" w:space="0"/>
        </w:tcBorders>
      </w:tcPr>
    </w:tblStylePr>
    <w:tblStylePr w:type="lastRow">
      <w:rPr>
        <w:b/>
        <w:bCs/>
      </w:rPr>
      <w:tcPr>
        <w:tcBorders>
          <w:top w:val="double" w:color="4472C4" w:themeColor="accent1" w:sz="4" w:space="0"/>
        </w:tcBorders>
      </w:tcPr>
    </w:tblStylePr>
    <w:tblStylePr w:type="firstCol">
      <w:rPr>
        <w:b/>
        <w:bCs/>
      </w:rPr>
    </w:tblStylePr>
    <w:tblStylePr w:type="lastCol">
      <w:rPr>
        <w:b/>
        <w:bCs/>
      </w:rPr>
    </w:tblStylePr>
    <w:tblStylePr w:type="band1Vert">
      <w:tcPr>
        <w:shd w:val="clear" w:color="auto" w:fill="D9E2F3" w:themeFill="accent1" w:themeFillTint="33"/>
      </w:tcPr>
    </w:tblStylePr>
    <w:tblStylePr w:type="band1Horz">
      <w:tcPr>
        <w:shd w:val="clear" w:color="auto" w:fill="D9E2F3" w:themeFill="accent1" w:themeFillTint="33"/>
      </w:tcPr>
    </w:tblStylePr>
  </w:style>
  <w:style w:type="table" w:customStyle="1" w:styleId="198">
    <w:name w:val="网格表 4 - 着色 41"/>
    <w:basedOn w:val="32"/>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insideV w:val="nil"/>
        </w:tcBorders>
        <w:shd w:val="clear" w:color="auto" w:fill="FFC000" w:themeFill="accent4"/>
      </w:tcPr>
    </w:tblStylePr>
    <w:tblStylePr w:type="lastRow">
      <w:rPr>
        <w:b/>
        <w:bCs/>
      </w:rPr>
      <w:tcPr>
        <w:tcBorders>
          <w:top w:val="double" w:color="FFC000" w:themeColor="accent4"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paragraph" w:customStyle="1" w:styleId="199">
    <w:name w:val="A正文"/>
    <w:basedOn w:val="1"/>
    <w:link w:val="200"/>
    <w:qFormat/>
    <w:uiPriority w:val="0"/>
    <w:pPr>
      <w:spacing w:line="360" w:lineRule="auto"/>
      <w:ind w:firstLine="200" w:firstLineChars="200"/>
      <w:jc w:val="both"/>
    </w:pPr>
    <w:rPr>
      <w:rFonts w:ascii="Times New Roman" w:hAnsi="Times New Roman" w:cstheme="minorBidi"/>
      <w:color w:val="000000"/>
      <w:sz w:val="24"/>
      <w:szCs w:val="24"/>
    </w:rPr>
  </w:style>
  <w:style w:type="character" w:customStyle="1" w:styleId="200">
    <w:name w:val="A正文 Char"/>
    <w:basedOn w:val="36"/>
    <w:link w:val="199"/>
    <w:uiPriority w:val="0"/>
    <w:rPr>
      <w:rFonts w:cstheme="minorBidi"/>
      <w:color w:val="000000"/>
      <w:sz w:val="24"/>
      <w:szCs w:val="24"/>
    </w:rPr>
  </w:style>
  <w:style w:type="table" w:customStyle="1" w:styleId="201">
    <w:name w:val="网格表 4 - 着色 511"/>
    <w:basedOn w:val="32"/>
    <w:uiPriority w:val="49"/>
    <w:pPr>
      <w:jc w:val="center"/>
    </w:pPr>
    <w:tblPr>
      <w:jc w:val="center"/>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rPr>
      <w:jc w:val="center"/>
    </w:trPr>
    <w:tcPr>
      <w:vAlign w:val="center"/>
    </w:tcPr>
    <w:tblStylePr w:type="firstRow">
      <w:rPr>
        <w:b/>
        <w:bCs/>
        <w:color w:val="FFFFFF" w:themeColor="background1"/>
        <w14:textFill>
          <w14:solidFill>
            <w14:schemeClr w14:val="bg1"/>
          </w14:solidFill>
        </w14:textFill>
      </w:rPr>
      <w:tcPr>
        <w:shd w:val="clear" w:color="auto" w:fill="9CC2E5" w:themeFill="accent5" w:themeFillTint="99"/>
      </w:tcPr>
    </w:tblStylePr>
    <w:tblStylePr w:type="lastRow">
      <w:rPr>
        <w:b/>
        <w:bCs/>
      </w:rPr>
      <w:tcPr>
        <w:tcBorders>
          <w:top w:val="double" w:color="5B9BD5" w:themeColor="accent5" w:sz="4" w:space="0"/>
        </w:tcBorders>
      </w:tcPr>
    </w:tblStylePr>
    <w:tblStylePr w:type="firstCol">
      <w:rPr>
        <w:b/>
        <w:bCs/>
      </w:rPr>
    </w:tblStylePr>
    <w:tblStylePr w:type="lastCol">
      <w:rPr>
        <w:b/>
        <w:bCs/>
      </w:rPr>
    </w:tblStylePr>
    <w:tblStylePr w:type="band1Vert">
      <w:tcPr>
        <w:shd w:val="clear" w:color="auto" w:fill="DEEAF6" w:themeFill="accent5" w:themeFillTint="33"/>
      </w:tcPr>
    </w:tblStylePr>
    <w:tblStylePr w:type="band1Horz">
      <w:tcPr>
        <w:shd w:val="clear" w:color="auto" w:fill="DEEAF6" w:themeFill="accent5" w:themeFillTint="33"/>
      </w:tcPr>
    </w:tblStylePr>
  </w:style>
  <w:style w:type="table" w:customStyle="1" w:styleId="202">
    <w:name w:val="网格表 2 - 着色 51"/>
    <w:basedOn w:val="32"/>
    <w:uiPriority w:val="47"/>
    <w:tblPr>
      <w:tblBorders>
        <w:top w:val="single" w:color="9CC2E5" w:themeColor="accent5" w:themeTint="99" w:sz="2" w:space="0"/>
        <w:bottom w:val="single" w:color="9CC2E5" w:themeColor="accent5" w:themeTint="99" w:sz="2" w:space="0"/>
        <w:insideH w:val="single" w:color="9CC2E5" w:themeColor="accent5" w:themeTint="99" w:sz="2" w:space="0"/>
        <w:insideV w:val="single" w:color="9CC2E5" w:themeColor="accent5" w:themeTint="99" w:sz="2" w:space="0"/>
      </w:tblBorders>
    </w:tblPr>
    <w:tblStylePr w:type="firstRow">
      <w:rPr>
        <w:b/>
        <w:bCs/>
      </w:rPr>
      <w:tcPr>
        <w:tcBorders>
          <w:top w:val="nil"/>
          <w:bottom w:val="single" w:color="9CC2E5" w:themeColor="accent5" w:themeTint="99" w:sz="12" w:space="0"/>
          <w:insideH w:val="nil"/>
          <w:insideV w:val="nil"/>
        </w:tcBorders>
        <w:shd w:val="clear" w:color="auto" w:fill="FFFFFF" w:themeFill="background1"/>
      </w:tcPr>
    </w:tblStylePr>
    <w:tblStylePr w:type="lastRow">
      <w:rPr>
        <w:b/>
        <w:bCs/>
      </w:rPr>
      <w:tcPr>
        <w:tcBorders>
          <w:top w:val="double" w:color="9CC2E5"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EEAF6" w:themeFill="accent5" w:themeFillTint="33"/>
      </w:tcPr>
    </w:tblStylePr>
    <w:tblStylePr w:type="band1Horz">
      <w:tcPr>
        <w:shd w:val="clear" w:color="auto" w:fill="DEEAF6" w:themeFill="accent5" w:themeFillTint="33"/>
      </w:tcPr>
    </w:tblStylePr>
  </w:style>
  <w:style w:type="paragraph" w:customStyle="1" w:styleId="203">
    <w:name w:val="A图表标题"/>
    <w:basedOn w:val="181"/>
    <w:link w:val="204"/>
    <w:qFormat/>
    <w:uiPriority w:val="0"/>
  </w:style>
  <w:style w:type="character" w:customStyle="1" w:styleId="204">
    <w:name w:val="A图表标题 Char"/>
    <w:basedOn w:val="182"/>
    <w:link w:val="203"/>
    <w:uiPriority w:val="0"/>
    <w:rPr>
      <w:rFonts w:ascii="Times New Roman" w:hAnsi="Times New Roman" w:eastAsia="黑体" w:cs="Times New Roman"/>
      <w:color w:val="4472C4" w:themeColor="accent1"/>
      <w:sz w:val="21"/>
      <w:szCs w:val="36"/>
      <w:lang w:val="zh-CN" w:eastAsia="zh-CN"/>
      <w14:textFill>
        <w14:solidFill>
          <w14:schemeClr w14:val="accent1"/>
        </w14:solidFill>
      </w14:textFill>
    </w:rPr>
  </w:style>
  <w:style w:type="paragraph" w:customStyle="1" w:styleId="205">
    <w:name w:val="A注"/>
    <w:basedOn w:val="1"/>
    <w:link w:val="206"/>
    <w:qFormat/>
    <w:uiPriority w:val="0"/>
    <w:rPr>
      <w:rFonts w:ascii="Times New Roman" w:hAnsi="Times New Roman" w:eastAsiaTheme="minorEastAsia" w:cstheme="minorBidi"/>
      <w:caps/>
      <w:sz w:val="18"/>
    </w:rPr>
  </w:style>
  <w:style w:type="character" w:customStyle="1" w:styleId="206">
    <w:name w:val="A注 Char"/>
    <w:basedOn w:val="36"/>
    <w:link w:val="205"/>
    <w:uiPriority w:val="0"/>
    <w:rPr>
      <w:rFonts w:eastAsiaTheme="minorEastAsia" w:cstheme="minorBidi"/>
      <w:caps/>
      <w:sz w:val="18"/>
    </w:rPr>
  </w:style>
  <w:style w:type="paragraph" w:customStyle="1" w:styleId="207">
    <w:name w:val="中南民族大学 四级标题"/>
    <w:basedOn w:val="1"/>
    <w:uiPriority w:val="0"/>
    <w:pPr>
      <w:keepNext/>
      <w:keepLines/>
      <w:widowControl w:val="0"/>
      <w:spacing w:before="163" w:beforeLines="50" w:after="163" w:afterLines="50" w:line="400" w:lineRule="atLeast"/>
      <w:ind w:firstLine="482" w:firstLineChars="200"/>
      <w:outlineLvl w:val="3"/>
    </w:pPr>
    <w:rPr>
      <w:rFonts w:ascii="黑体" w:hAnsi="黑体" w:eastAsia="黑体" w:cstheme="majorBidi"/>
      <w:b/>
      <w:bCs/>
      <w:color w:val="4472C4" w:themeColor="accent1"/>
      <w:kern w:val="2"/>
      <w:sz w:val="24"/>
      <w:szCs w:val="24"/>
      <w14:textFill>
        <w14:solidFill>
          <w14:schemeClr w14:val="accent1"/>
        </w14:solidFill>
      </w14:textFill>
    </w:rPr>
  </w:style>
  <w:style w:type="paragraph" w:customStyle="1" w:styleId="208">
    <w:name w:val="L图表标题"/>
    <w:basedOn w:val="68"/>
    <w:link w:val="209"/>
    <w:qFormat/>
    <w:uiPriority w:val="0"/>
    <w:pPr>
      <w:widowControl w:val="0"/>
      <w:spacing w:afterLines="0"/>
      <w:ind w:firstLine="0" w:firstLineChars="0"/>
    </w:pPr>
    <w:rPr>
      <w:kern w:val="2"/>
      <w:sz w:val="21"/>
      <w:lang w:val="en-US"/>
    </w:rPr>
  </w:style>
  <w:style w:type="character" w:customStyle="1" w:styleId="209">
    <w:name w:val="L图表标题 Char"/>
    <w:basedOn w:val="69"/>
    <w:link w:val="208"/>
    <w:uiPriority w:val="0"/>
    <w:rPr>
      <w:rFonts w:ascii="Times New Roman" w:hAnsi="Times New Roman" w:eastAsia="黑体" w:cs="Times New Roman"/>
      <w:kern w:val="2"/>
      <w:sz w:val="21"/>
      <w:szCs w:val="21"/>
    </w:rPr>
  </w:style>
  <w:style w:type="paragraph" w:customStyle="1" w:styleId="210">
    <w:name w:val="L注"/>
    <w:basedOn w:val="64"/>
    <w:link w:val="211"/>
    <w:qFormat/>
    <w:uiPriority w:val="0"/>
    <w:pPr>
      <w:spacing w:beforeLines="0" w:afterLines="0" w:line="240" w:lineRule="auto"/>
      <w:ind w:firstLine="0" w:firstLineChars="0"/>
    </w:pPr>
    <w:rPr>
      <w:rFonts w:cs="宋体" w:eastAsiaTheme="minorEastAsia"/>
      <w:color w:val="000000" w:themeColor="text1"/>
      <w:sz w:val="18"/>
      <w:szCs w:val="18"/>
      <w:lang w:val="en-US"/>
      <w14:textFill>
        <w14:solidFill>
          <w14:schemeClr w14:val="tx1"/>
        </w14:solidFill>
      </w14:textFill>
    </w:rPr>
  </w:style>
  <w:style w:type="character" w:customStyle="1" w:styleId="211">
    <w:name w:val="L注 Char"/>
    <w:basedOn w:val="63"/>
    <w:link w:val="210"/>
    <w:uiPriority w:val="0"/>
    <w:rPr>
      <w:rFonts w:ascii="宋体" w:hAnsi="宋体" w:cs="宋体" w:eastAsiaTheme="minorEastAsia"/>
      <w:color w:val="000000" w:themeColor="text1"/>
      <w:kern w:val="0"/>
      <w:sz w:val="18"/>
      <w:szCs w:val="18"/>
      <w14:textFill>
        <w14:solidFill>
          <w14:schemeClr w14:val="tx1"/>
        </w14:solidFill>
      </w14:textFill>
    </w:rPr>
  </w:style>
  <w:style w:type="table" w:customStyle="1" w:styleId="212">
    <w:name w:val="网格表 4 - 着色 12"/>
    <w:basedOn w:val="32"/>
    <w:uiPriority w:val="49"/>
    <w:pPr>
      <w:spacing w:before="100"/>
      <w:jc w:val="center"/>
    </w:pPr>
    <w:rPr>
      <w:rFonts w:eastAsiaTheme="minorEastAsia" w:cstheme="minorBidi"/>
      <w:sz w:val="21"/>
    </w:rPr>
    <w:tblPr>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cPr>
      <w:vAlign w:val="center"/>
    </w:tcPr>
    <w:tblStylePr w:type="firstRow">
      <w:rPr>
        <w:b/>
        <w:bCs/>
        <w:color w:val="FFFFFF" w:themeColor="background1"/>
        <w14:textFill>
          <w14:solidFill>
            <w14:schemeClr w14:val="bg1"/>
          </w14:solidFill>
        </w14:textFill>
      </w:rPr>
      <w:tblPr/>
      <w:trPr>
        <w:tblHeader/>
      </w:tr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cPr>
        <w:tcBorders>
          <w:top w:val="double" w:color="4472C4" w:themeColor="accent1" w:sz="4" w:space="0"/>
        </w:tcBorders>
      </w:tcPr>
    </w:tblStylePr>
    <w:tblStylePr w:type="firstCol">
      <w:rPr>
        <w:b w:val="0"/>
        <w:bCs/>
      </w:rPr>
    </w:tblStylePr>
    <w:tblStylePr w:type="lastCol">
      <w:rPr>
        <w:b/>
        <w:bCs/>
      </w:rPr>
    </w:tblStylePr>
    <w:tblStylePr w:type="band1Vert">
      <w:tcPr>
        <w:shd w:val="clear" w:color="auto" w:fill="D9E2F3" w:themeFill="accent1" w:themeFillTint="33"/>
      </w:tcPr>
    </w:tblStylePr>
    <w:tblStylePr w:type="band1Horz">
      <w:tcPr>
        <w:shd w:val="clear" w:color="auto" w:fill="D9E2F3" w:themeFill="accent1" w:themeFillTint="33"/>
      </w:tcPr>
    </w:tblStylePr>
  </w:style>
  <w:style w:type="table" w:customStyle="1" w:styleId="213">
    <w:name w:val="清单表 4 - 着色 11"/>
    <w:basedOn w:val="32"/>
    <w:uiPriority w:val="49"/>
    <w:tblPr>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tblBorders>
    </w:tblPr>
    <w:tblStylePr w:type="firstRow">
      <w:rPr>
        <w:b/>
        <w:bCs/>
        <w:color w:val="FFFFFF" w:themeColor="background1"/>
        <w14:textFill>
          <w14:solidFill>
            <w14:schemeClr w14:val="bg1"/>
          </w14:solidFill>
        </w14:textFill>
      </w:r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tcBorders>
        <w:shd w:val="clear" w:color="auto" w:fill="4472C4" w:themeFill="accent1"/>
      </w:tcPr>
    </w:tblStylePr>
    <w:tblStylePr w:type="lastRow">
      <w:rPr>
        <w:b/>
        <w:bCs/>
      </w:rPr>
      <w:tcPr>
        <w:tcBorders>
          <w:top w:val="double" w:color="8EAADB" w:themeColor="accent1" w:themeTint="99" w:sz="4" w:space="0"/>
        </w:tcBorders>
      </w:tcPr>
    </w:tblStylePr>
    <w:tblStylePr w:type="firstCol">
      <w:rPr>
        <w:b/>
        <w:bCs/>
      </w:rPr>
    </w:tblStylePr>
    <w:tblStylePr w:type="lastCol">
      <w:rPr>
        <w:b/>
        <w:bCs/>
      </w:rPr>
    </w:tblStylePr>
    <w:tblStylePr w:type="band1Vert">
      <w:tcPr>
        <w:shd w:val="clear" w:color="auto" w:fill="D9E2F3" w:themeFill="accent1" w:themeFillTint="33"/>
      </w:tcPr>
    </w:tblStylePr>
    <w:tblStylePr w:type="band1Horz">
      <w:tcPr>
        <w:shd w:val="clear" w:color="auto" w:fill="D9E2F3" w:themeFill="accent1" w:themeFillTint="33"/>
      </w:tcPr>
    </w:tblStylePr>
  </w:style>
  <w:style w:type="table" w:customStyle="1" w:styleId="214">
    <w:name w:val="网格表 5 深色 - 着色 11"/>
    <w:basedOn w:val="32"/>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1"/>
      </w:tcPr>
    </w:tblStylePr>
    <w:tblStylePr w:type="band1Vert">
      <w:tcPr>
        <w:shd w:val="clear" w:color="auto" w:fill="B4C6E7" w:themeFill="accent1" w:themeFillTint="66"/>
      </w:tcPr>
    </w:tblStylePr>
    <w:tblStylePr w:type="band1Horz">
      <w:tcPr>
        <w:shd w:val="clear" w:color="auto" w:fill="B4C6E7" w:themeFill="accent1" w:themeFillTint="66"/>
      </w:tcPr>
    </w:tblStylePr>
  </w:style>
  <w:style w:type="table" w:customStyle="1" w:styleId="215">
    <w:name w:val="网格表 5 深色 - 着色 21"/>
    <w:basedOn w:val="32"/>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216">
    <w:name w:val="网格表 5 深色 - 着色 32"/>
    <w:basedOn w:val="32"/>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217">
    <w:name w:val="网格表 5 深色 - 着色 61"/>
    <w:basedOn w:val="32"/>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2EFD9" w:themeFill="accent6"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70AD47" w:themeFill="accent6"/>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70AD47" w:themeFill="accent6"/>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70AD47" w:themeFill="accent6"/>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70AD47" w:themeFill="accent6"/>
      </w:tcPr>
    </w:tblStylePr>
    <w:tblStylePr w:type="band1Vert">
      <w:tcPr>
        <w:shd w:val="clear" w:color="auto" w:fill="C5E0B3" w:themeFill="accent6" w:themeFillTint="66"/>
      </w:tcPr>
    </w:tblStylePr>
    <w:tblStylePr w:type="band1Horz">
      <w:tcPr>
        <w:shd w:val="clear" w:color="auto" w:fill="C5E0B3" w:themeFill="accent6" w:themeFillTint="66"/>
      </w:tcPr>
    </w:tblStylePr>
  </w:style>
  <w:style w:type="table" w:customStyle="1" w:styleId="218">
    <w:name w:val="网格表 5 深色 - 着色 41"/>
    <w:basedOn w:val="32"/>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EF2CC" w:themeFill="accent4"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FC000" w:themeFill="accent4"/>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FC000" w:themeFill="accent4"/>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FFC000" w:themeFill="accent4"/>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FC000" w:themeFill="accent4"/>
      </w:tcPr>
    </w:tblStylePr>
    <w:tblStylePr w:type="band1Vert">
      <w:tcPr>
        <w:shd w:val="clear" w:color="auto" w:fill="FFE599" w:themeFill="accent4" w:themeFillTint="66"/>
      </w:tcPr>
    </w:tblStylePr>
    <w:tblStylePr w:type="band1Horz">
      <w:tcPr>
        <w:shd w:val="clear" w:color="auto" w:fill="FFE599" w:themeFill="accent4" w:themeFillTint="66"/>
      </w:tcPr>
    </w:tblStylePr>
  </w:style>
  <w:style w:type="table" w:customStyle="1" w:styleId="219">
    <w:name w:val="网格表 5 深色 - 着色 51"/>
    <w:basedOn w:val="32"/>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EEAF6" w:themeFill="accent5"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B9BD5" w:themeFill="accent5"/>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B9BD5" w:themeFill="accent5"/>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5B9BD5" w:themeFill="accent5"/>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B9BD5" w:themeFill="accent5"/>
      </w:tcPr>
    </w:tblStylePr>
    <w:tblStylePr w:type="band1Vert">
      <w:tcPr>
        <w:shd w:val="clear" w:color="auto" w:fill="BDD6EE" w:themeFill="accent5" w:themeFillTint="66"/>
      </w:tcPr>
    </w:tblStylePr>
    <w:tblStylePr w:type="band1Horz">
      <w:tcPr>
        <w:shd w:val="clear" w:color="auto" w:fill="BDD6EE" w:themeFill="accent5" w:themeFillTint="66"/>
      </w:tcPr>
    </w:tblStylePr>
  </w:style>
  <w:style w:type="paragraph" w:customStyle="1" w:styleId="220">
    <w:name w:val="L 表格文字"/>
    <w:basedOn w:val="1"/>
    <w:link w:val="221"/>
    <w:qFormat/>
    <w:uiPriority w:val="0"/>
    <w:pPr>
      <w:jc w:val="center"/>
    </w:pPr>
    <w:rPr>
      <w:rFonts w:ascii="Times New Roman" w:hAnsi="Times New Roman"/>
      <w:kern w:val="2"/>
      <w:sz w:val="21"/>
      <w:szCs w:val="22"/>
    </w:rPr>
  </w:style>
  <w:style w:type="character" w:customStyle="1" w:styleId="221">
    <w:name w:val="L 表格文字 Char"/>
    <w:basedOn w:val="36"/>
    <w:link w:val="220"/>
    <w:uiPriority w:val="0"/>
    <w:rPr>
      <w:kern w:val="2"/>
      <w:sz w:val="21"/>
      <w:szCs w:val="22"/>
    </w:rPr>
  </w:style>
  <w:style w:type="paragraph" w:customStyle="1" w:styleId="222">
    <w:name w:val="1111111图目录"/>
    <w:basedOn w:val="1"/>
    <w:link w:val="223"/>
    <w:qFormat/>
    <w:uiPriority w:val="0"/>
    <w:pPr>
      <w:spacing w:line="360" w:lineRule="auto"/>
      <w:jc w:val="center"/>
    </w:pPr>
    <w:rPr>
      <w:rFonts w:ascii="Times New Roman" w:hAnsi="Times New Roman" w:eastAsia="黑体"/>
      <w:b/>
      <w:caps/>
      <w:sz w:val="21"/>
      <w:szCs w:val="36"/>
      <w:lang w:val="zh-CN"/>
    </w:rPr>
  </w:style>
  <w:style w:type="character" w:customStyle="1" w:styleId="223">
    <w:name w:val="1111111图目录 Char"/>
    <w:basedOn w:val="36"/>
    <w:link w:val="222"/>
    <w:uiPriority w:val="0"/>
    <w:rPr>
      <w:rFonts w:eastAsia="黑体"/>
      <w:b/>
      <w:caps/>
      <w:sz w:val="21"/>
      <w:szCs w:val="36"/>
      <w:lang w:val="zh-CN"/>
    </w:rPr>
  </w:style>
  <w:style w:type="table" w:customStyle="1" w:styleId="224">
    <w:name w:val="2017-20171"/>
    <w:basedOn w:val="32"/>
    <w:uiPriority w:val="49"/>
    <w:pPr>
      <w:spacing w:before="100"/>
      <w:jc w:val="center"/>
    </w:pPr>
    <w:rPr>
      <w:rFonts w:ascii="Calibri" w:hAnsi="Calibri" w:eastAsia="Times New Roman"/>
    </w:rPr>
    <w:tblP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Pr>
    <w:tcPr>
      <w:vAlign w:val="center"/>
    </w:tcPr>
    <w:tblStylePr w:type="firstRow">
      <w:rPr>
        <w:b/>
        <w:bCs/>
        <w:color w:val="FFFFFF"/>
      </w:rPr>
      <w:tcPr>
        <w:tcBorders>
          <w:top w:val="single" w:color="0F6FC6" w:sz="4" w:space="0"/>
          <w:left w:val="single" w:color="0F6FC6" w:sz="4" w:space="0"/>
          <w:bottom w:val="single" w:color="0F6FC6" w:sz="4" w:space="0"/>
          <w:right w:val="single" w:color="0F6FC6" w:sz="4" w:space="0"/>
          <w:insideH w:val="nil"/>
          <w:insideV w:val="nil"/>
        </w:tcBorders>
        <w:shd w:val="clear" w:color="auto" w:fill="0F6FC6"/>
      </w:tcPr>
    </w:tblStylePr>
    <w:tblStylePr w:type="lastRow">
      <w:rPr>
        <w:b/>
        <w:bCs/>
      </w:rPr>
      <w:tcPr>
        <w:tcBorders>
          <w:top w:val="double" w:color="0F6FC6" w:sz="4" w:space="0"/>
        </w:tcBorders>
      </w:tcPr>
    </w:tblStylePr>
    <w:tblStylePr w:type="firstCol">
      <w:rPr>
        <w:b/>
        <w:bCs/>
      </w:rPr>
    </w:tblStylePr>
    <w:tblStylePr w:type="lastCol">
      <w:rPr>
        <w:b/>
        <w:bCs/>
      </w:rPr>
    </w:tblStylePr>
    <w:tblStylePr w:type="band1Vert">
      <w:tcPr>
        <w:shd w:val="clear" w:color="auto" w:fill="C7E2FA"/>
      </w:tcPr>
    </w:tblStylePr>
    <w:tblStylePr w:type="band1Horz">
      <w:tcPr>
        <w:shd w:val="clear" w:color="auto" w:fill="C7E2FA"/>
      </w:tcPr>
    </w:tblStylePr>
  </w:style>
  <w:style w:type="table" w:customStyle="1" w:styleId="225">
    <w:name w:val="2017-20172"/>
    <w:basedOn w:val="32"/>
    <w:uiPriority w:val="49"/>
    <w:pPr>
      <w:spacing w:before="100"/>
      <w:jc w:val="center"/>
    </w:pPr>
    <w:rPr>
      <w:rFonts w:ascii="Calibri" w:hAnsi="Calibri" w:eastAsia="Times New Roman"/>
    </w:rPr>
    <w:tblPr>
      <w:tblBorders>
        <w:top w:val="single" w:color="59A9F2" w:sz="4" w:space="0"/>
        <w:left w:val="single" w:color="59A9F2" w:sz="4" w:space="0"/>
        <w:bottom w:val="single" w:color="59A9F2" w:sz="4" w:space="0"/>
        <w:right w:val="single" w:color="59A9F2" w:sz="4" w:space="0"/>
        <w:insideH w:val="single" w:color="59A9F2" w:sz="4" w:space="0"/>
        <w:insideV w:val="single" w:color="59A9F2" w:sz="4" w:space="0"/>
      </w:tblBorders>
    </w:tblPr>
    <w:tcPr>
      <w:vAlign w:val="center"/>
    </w:tcPr>
    <w:tblStylePr w:type="firstRow">
      <w:rPr>
        <w:b/>
        <w:bCs/>
        <w:color w:val="FFFFFF"/>
      </w:rPr>
      <w:tcPr>
        <w:tcBorders>
          <w:top w:val="single" w:color="0F6FC6" w:sz="4" w:space="0"/>
          <w:left w:val="single" w:color="0F6FC6" w:sz="4" w:space="0"/>
          <w:bottom w:val="single" w:color="0F6FC6" w:sz="4" w:space="0"/>
          <w:right w:val="single" w:color="0F6FC6" w:sz="4" w:space="0"/>
          <w:insideH w:val="nil"/>
          <w:insideV w:val="nil"/>
        </w:tcBorders>
        <w:shd w:val="clear" w:color="auto" w:fill="0F6FC6"/>
      </w:tcPr>
    </w:tblStylePr>
    <w:tblStylePr w:type="lastRow">
      <w:rPr>
        <w:b/>
        <w:bCs/>
      </w:rPr>
      <w:tcPr>
        <w:tcBorders>
          <w:top w:val="double" w:color="0F6FC6" w:sz="4" w:space="0"/>
        </w:tcBorders>
      </w:tcPr>
    </w:tblStylePr>
    <w:tblStylePr w:type="firstCol">
      <w:rPr>
        <w:b/>
        <w:bCs/>
      </w:rPr>
    </w:tblStylePr>
    <w:tblStylePr w:type="lastCol">
      <w:rPr>
        <w:b/>
        <w:bCs/>
      </w:rPr>
    </w:tblStylePr>
    <w:tblStylePr w:type="band1Vert">
      <w:tcPr>
        <w:shd w:val="clear" w:color="auto" w:fill="C7E2FA"/>
      </w:tcPr>
    </w:tblStylePr>
    <w:tblStylePr w:type="band1Horz">
      <w:tcPr>
        <w:shd w:val="clear" w:color="auto" w:fill="C7E2FA"/>
      </w:tcPr>
    </w:tblStylePr>
  </w:style>
  <w:style w:type="table" w:customStyle="1" w:styleId="226">
    <w:name w:val="网格表 4 - 着色 52"/>
    <w:basedOn w:val="32"/>
    <w:uiPriority w:val="49"/>
    <w:pPr>
      <w:jc w:val="center"/>
    </w:pPr>
    <w:tblPr>
      <w:jc w:val="center"/>
      <w:tblBorders>
        <w:top w:val="single" w:color="F0917B" w:sz="4" w:space="0"/>
        <w:left w:val="single" w:color="F0917B" w:sz="4" w:space="0"/>
        <w:bottom w:val="single" w:color="F0917B" w:sz="4" w:space="0"/>
        <w:right w:val="single" w:color="F0917B" w:sz="4" w:space="0"/>
        <w:insideH w:val="single" w:color="F0917B" w:sz="4" w:space="0"/>
        <w:insideV w:val="single" w:color="F0917B" w:sz="4" w:space="0"/>
      </w:tblBorders>
    </w:tblPr>
    <w:trPr>
      <w:jc w:val="center"/>
    </w:trPr>
    <w:tcPr>
      <w:vAlign w:val="center"/>
    </w:tcPr>
    <w:tblStylePr w:type="firstRow">
      <w:rPr>
        <w:b/>
        <w:bCs/>
        <w:color w:val="FFFFFF"/>
      </w:rPr>
      <w:tcPr>
        <w:shd w:val="clear" w:color="auto" w:fill="F0917B"/>
      </w:tcPr>
    </w:tblStylePr>
    <w:tblStylePr w:type="lastRow">
      <w:rPr>
        <w:b/>
        <w:bCs/>
      </w:rPr>
      <w:tcPr>
        <w:tcBorders>
          <w:top w:val="double" w:color="E64823" w:sz="4" w:space="0"/>
        </w:tcBorders>
      </w:tcPr>
    </w:tblStylePr>
    <w:tblStylePr w:type="firstCol">
      <w:rPr>
        <w:b/>
        <w:bCs/>
      </w:rPr>
    </w:tblStylePr>
    <w:tblStylePr w:type="lastCol">
      <w:rPr>
        <w:b/>
        <w:bCs/>
      </w:rPr>
    </w:tblStylePr>
    <w:tblStylePr w:type="band1Vert">
      <w:tcPr>
        <w:shd w:val="clear" w:color="auto" w:fill="FADAD3"/>
      </w:tcPr>
    </w:tblStylePr>
    <w:tblStylePr w:type="band1Horz">
      <w:tcPr>
        <w:shd w:val="clear" w:color="auto" w:fill="FADAD3"/>
      </w:tcPr>
    </w:tblStylePr>
  </w:style>
  <w:style w:type="table" w:customStyle="1" w:styleId="227">
    <w:name w:val="网格表 4 - 着色 53"/>
    <w:basedOn w:val="32"/>
    <w:uiPriority w:val="49"/>
    <w:tblPr>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color w:val="FFFFFF" w:themeColor="background1"/>
        <w14:textFill>
          <w14:solidFill>
            <w14:schemeClr w14:val="bg1"/>
          </w14:solidFill>
        </w14:textFill>
      </w:r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insideV w:val="nil"/>
        </w:tcBorders>
        <w:shd w:val="clear" w:color="auto" w:fill="5B9BD5" w:themeFill="accent5"/>
      </w:tcPr>
    </w:tblStylePr>
    <w:tblStylePr w:type="lastRow">
      <w:rPr>
        <w:b/>
        <w:bCs/>
      </w:rPr>
      <w:tcPr>
        <w:tcBorders>
          <w:top w:val="double" w:color="5B9BD5" w:themeColor="accent5" w:sz="4" w:space="0"/>
        </w:tcBorders>
      </w:tcPr>
    </w:tblStylePr>
    <w:tblStylePr w:type="firstCol">
      <w:rPr>
        <w:b/>
        <w:bCs/>
      </w:rPr>
    </w:tblStylePr>
    <w:tblStylePr w:type="lastCol">
      <w:rPr>
        <w:b/>
        <w:bCs/>
      </w:rPr>
    </w:tblStylePr>
    <w:tblStylePr w:type="band1Vert">
      <w:tcPr>
        <w:shd w:val="clear" w:color="auto" w:fill="DEEAF6" w:themeFill="accent5" w:themeFillTint="33"/>
      </w:tcPr>
    </w:tblStylePr>
    <w:tblStylePr w:type="band1Horz">
      <w:tcPr>
        <w:shd w:val="clear" w:color="auto" w:fill="DEEAF6" w:themeFill="accent5" w:themeFillTint="33"/>
      </w:tcPr>
    </w:tblStylePr>
  </w:style>
  <w:style w:type="paragraph" w:customStyle="1" w:styleId="228">
    <w:name w:val="TOC 标题3"/>
    <w:basedOn w:val="2"/>
    <w:next w:val="1"/>
    <w:semiHidden/>
    <w:unhideWhenUsed/>
    <w:qFormat/>
    <w:uiPriority w:val="39"/>
    <w:pPr>
      <w:keepNext/>
      <w:keepLines/>
      <w:pBdr>
        <w:top w:val="none" w:color="auto" w:sz="0" w:space="0"/>
        <w:left w:val="none" w:color="auto" w:sz="0" w:space="0"/>
        <w:bottom w:val="none" w:color="auto" w:sz="0" w:space="0"/>
        <w:right w:val="none" w:color="auto" w:sz="0" w:space="0"/>
      </w:pBdr>
      <w:shd w:val="clear" w:color="auto" w:fill="auto"/>
      <w:spacing w:before="340" w:after="330" w:line="578" w:lineRule="auto"/>
      <w:outlineLvl w:val="9"/>
    </w:pPr>
    <w:rPr>
      <w:b/>
      <w:bCs/>
      <w:caps w:val="0"/>
      <w:color w:val="auto"/>
      <w:spacing w:val="0"/>
      <w:kern w:val="44"/>
      <w:sz w:val="44"/>
      <w:szCs w:val="44"/>
      <w:lang w:val="en-US"/>
    </w:rPr>
  </w:style>
  <w:style w:type="character" w:customStyle="1" w:styleId="229">
    <w:name w:val="未处理的提及1"/>
    <w:basedOn w:val="36"/>
    <w:semiHidden/>
    <w:unhideWhenUsed/>
    <w:uiPriority w:val="99"/>
    <w:rPr>
      <w:color w:val="605E5C"/>
      <w:shd w:val="clear" w:color="auto" w:fill="E1DFDD"/>
    </w:rPr>
  </w:style>
  <w:style w:type="character" w:customStyle="1" w:styleId="230">
    <w:name w:val="fontstyle01"/>
    <w:basedOn w:val="36"/>
    <w:uiPriority w:val="0"/>
    <w:rPr>
      <w:rFonts w:hint="eastAsia" w:ascii="宋体" w:hAnsi="宋体" w:eastAsia="宋体"/>
      <w:color w:val="000000"/>
      <w:sz w:val="24"/>
      <w:szCs w:val="24"/>
    </w:rPr>
  </w:style>
  <w:style w:type="character" w:customStyle="1" w:styleId="231">
    <w:name w:val="fontstyle21"/>
    <w:basedOn w:val="36"/>
    <w:uiPriority w:val="0"/>
    <w:rPr>
      <w:rFonts w:hint="default" w:ascii="TimesNewRomanPSMT" w:hAnsi="TimesNewRomanPSMT"/>
      <w:color w:val="000000"/>
      <w:sz w:val="24"/>
      <w:szCs w:val="24"/>
    </w:rPr>
  </w:style>
  <w:style w:type="character" w:customStyle="1" w:styleId="232">
    <w:name w:val="fontstyle31"/>
    <w:basedOn w:val="36"/>
    <w:uiPriority w:val="0"/>
    <w:rPr>
      <w:rFonts w:hint="default" w:ascii="Calibri" w:hAnsi="Calibri"/>
      <w:color w:val="000000"/>
      <w:sz w:val="24"/>
      <w:szCs w:val="24"/>
    </w:rPr>
  </w:style>
  <w:style w:type="character" w:customStyle="1" w:styleId="233">
    <w:name w:val="未处理的提及2"/>
    <w:basedOn w:val="36"/>
    <w:semiHidden/>
    <w:unhideWhenUsed/>
    <w:uiPriority w:val="99"/>
    <w:rPr>
      <w:color w:val="605E5C"/>
      <w:shd w:val="clear" w:color="auto" w:fill="E1DFDD"/>
    </w:rPr>
  </w:style>
  <w:style w:type="character" w:customStyle="1" w:styleId="234">
    <w:name w:val="未处理的提及3"/>
    <w:basedOn w:val="36"/>
    <w:semiHidden/>
    <w:unhideWhenUsed/>
    <w:uiPriority w:val="99"/>
    <w:rPr>
      <w:color w:val="605E5C"/>
      <w:shd w:val="clear" w:color="auto" w:fill="E1DFDD"/>
    </w:rPr>
  </w:style>
  <w:style w:type="character" w:customStyle="1" w:styleId="235">
    <w:name w:val="未处理的提及4"/>
    <w:basedOn w:val="36"/>
    <w:semiHidden/>
    <w:unhideWhenUsed/>
    <w:uiPriority w:val="99"/>
    <w:rPr>
      <w:color w:val="605E5C"/>
      <w:shd w:val="clear" w:color="auto" w:fill="E1DFDD"/>
    </w:rPr>
  </w:style>
  <w:style w:type="table" w:customStyle="1" w:styleId="236">
    <w:name w:val="网格表 6 彩色 - 着色 41"/>
    <w:basedOn w:val="32"/>
    <w:uiPriority w:val="51"/>
    <w:rPr>
      <w:rFonts w:ascii="Calibri Light" w:hAnsi="Calibri Light"/>
      <w:color w:val="0C9A73"/>
    </w:rPr>
    <w:tblPr>
      <w:tblBorders>
        <w:top w:val="single" w:color="5FF2CA" w:sz="4" w:space="0"/>
        <w:left w:val="single" w:color="5FF2CA" w:sz="4" w:space="0"/>
        <w:bottom w:val="single" w:color="5FF2CA" w:sz="4" w:space="0"/>
        <w:right w:val="single" w:color="5FF2CA" w:sz="4" w:space="0"/>
        <w:insideH w:val="single" w:color="5FF2CA" w:sz="4" w:space="0"/>
        <w:insideV w:val="single" w:color="5FF2CA" w:sz="4" w:space="0"/>
      </w:tblBorders>
    </w:tblPr>
    <w:tblStylePr w:type="firstRow">
      <w:rPr>
        <w:b/>
        <w:bCs/>
      </w:rPr>
      <w:tcPr>
        <w:tcBorders>
          <w:top w:val="nil"/>
          <w:left w:val="nil"/>
          <w:bottom w:val="single" w:color="5FF2CA" w:sz="12" w:space="0"/>
          <w:right w:val="nil"/>
          <w:insideH w:val="nil"/>
          <w:insideV w:val="nil"/>
          <w:tl2br w:val="nil"/>
          <w:tr2bl w:val="nil"/>
        </w:tcBorders>
      </w:tcPr>
    </w:tblStylePr>
    <w:tblStylePr w:type="lastRow">
      <w:rPr>
        <w:b/>
        <w:bCs/>
      </w:rPr>
      <w:tcPr>
        <w:tcBorders>
          <w:top w:val="double" w:color="5FF2CA"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C9FBED"/>
      </w:tcPr>
    </w:tblStylePr>
    <w:tblStylePr w:type="band1Horz">
      <w:tcPr>
        <w:shd w:val="clear" w:color="auto" w:fill="C9FBED"/>
      </w:tcPr>
    </w:tblStylePr>
  </w:style>
  <w:style w:type="character" w:customStyle="1" w:styleId="237">
    <w:name w:val="未处理的提及5"/>
    <w:basedOn w:val="36"/>
    <w:semiHidden/>
    <w:unhideWhenUsed/>
    <w:uiPriority w:val="99"/>
    <w:rPr>
      <w:color w:val="605E5C"/>
      <w:shd w:val="clear" w:color="auto" w:fill="E1DFDD"/>
    </w:rPr>
  </w:style>
  <w:style w:type="character" w:customStyle="1" w:styleId="238">
    <w:name w:val="未处理的提及6"/>
    <w:basedOn w:val="36"/>
    <w:semiHidden/>
    <w:unhideWhenUsed/>
    <w:uiPriority w:val="99"/>
    <w:rPr>
      <w:color w:val="605E5C"/>
      <w:shd w:val="clear" w:color="auto" w:fill="E1DFDD"/>
    </w:rPr>
  </w:style>
  <w:style w:type="character" w:customStyle="1" w:styleId="239">
    <w:name w:val="未处理的提及7"/>
    <w:basedOn w:val="36"/>
    <w:semiHidden/>
    <w:unhideWhenUsed/>
    <w:uiPriority w:val="99"/>
    <w:rPr>
      <w:color w:val="605E5C"/>
      <w:shd w:val="clear" w:color="auto" w:fill="E1DFDD"/>
    </w:rPr>
  </w:style>
  <w:style w:type="character" w:customStyle="1" w:styleId="240">
    <w:name w:val="未处理的提及8"/>
    <w:basedOn w:val="36"/>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4" Type="http://schemas.openxmlformats.org/officeDocument/2006/relationships/fontTable" Target="fontTable.xml"/><Relationship Id="rId73" Type="http://schemas.openxmlformats.org/officeDocument/2006/relationships/customXml" Target="../customXml/item2.xml"/><Relationship Id="rId72" Type="http://schemas.openxmlformats.org/officeDocument/2006/relationships/customXml" Target="../customXml/item1.xml"/><Relationship Id="rId71" Type="http://schemas.openxmlformats.org/officeDocument/2006/relationships/image" Target="media/image11.png"/><Relationship Id="rId70" Type="http://schemas.openxmlformats.org/officeDocument/2006/relationships/chart" Target="charts/chart45.xml"/><Relationship Id="rId7" Type="http://schemas.openxmlformats.org/officeDocument/2006/relationships/header" Target="header3.xml"/><Relationship Id="rId69" Type="http://schemas.openxmlformats.org/officeDocument/2006/relationships/chart" Target="charts/chart44.xml"/><Relationship Id="rId68" Type="http://schemas.openxmlformats.org/officeDocument/2006/relationships/chart" Target="charts/chart43.xml"/><Relationship Id="rId67" Type="http://schemas.openxmlformats.org/officeDocument/2006/relationships/chart" Target="charts/chart42.xml"/><Relationship Id="rId66" Type="http://schemas.openxmlformats.org/officeDocument/2006/relationships/chart" Target="charts/chart41.xml"/><Relationship Id="rId65" Type="http://schemas.openxmlformats.org/officeDocument/2006/relationships/chart" Target="charts/chart40.xml"/><Relationship Id="rId64" Type="http://schemas.openxmlformats.org/officeDocument/2006/relationships/chart" Target="charts/chart39.xml"/><Relationship Id="rId63" Type="http://schemas.openxmlformats.org/officeDocument/2006/relationships/chart" Target="charts/chart38.xml"/><Relationship Id="rId62" Type="http://schemas.openxmlformats.org/officeDocument/2006/relationships/chart" Target="charts/chart37.xml"/><Relationship Id="rId61" Type="http://schemas.openxmlformats.org/officeDocument/2006/relationships/chart" Target="charts/chart36.xml"/><Relationship Id="rId60" Type="http://schemas.openxmlformats.org/officeDocument/2006/relationships/chart" Target="charts/chart35.xml"/><Relationship Id="rId6" Type="http://schemas.openxmlformats.org/officeDocument/2006/relationships/header" Target="header2.xml"/><Relationship Id="rId59" Type="http://schemas.openxmlformats.org/officeDocument/2006/relationships/chart" Target="charts/chart34.xml"/><Relationship Id="rId58" Type="http://schemas.openxmlformats.org/officeDocument/2006/relationships/chart" Target="charts/chart33.xml"/><Relationship Id="rId57" Type="http://schemas.openxmlformats.org/officeDocument/2006/relationships/chart" Target="charts/chart32.xml"/><Relationship Id="rId56" Type="http://schemas.openxmlformats.org/officeDocument/2006/relationships/chart" Target="charts/chart31.xml"/><Relationship Id="rId55" Type="http://schemas.openxmlformats.org/officeDocument/2006/relationships/chart" Target="charts/chart30.xml"/><Relationship Id="rId54" Type="http://schemas.openxmlformats.org/officeDocument/2006/relationships/chart" Target="charts/chart29.xml"/><Relationship Id="rId53" Type="http://schemas.openxmlformats.org/officeDocument/2006/relationships/chart" Target="charts/chart28.xml"/><Relationship Id="rId52" Type="http://schemas.openxmlformats.org/officeDocument/2006/relationships/chart" Target="charts/chart27.xml"/><Relationship Id="rId51" Type="http://schemas.openxmlformats.org/officeDocument/2006/relationships/chart" Target="charts/chart26.xml"/><Relationship Id="rId50" Type="http://schemas.openxmlformats.org/officeDocument/2006/relationships/chart" Target="charts/chart25.xml"/><Relationship Id="rId5" Type="http://schemas.openxmlformats.org/officeDocument/2006/relationships/footer" Target="footer1.xml"/><Relationship Id="rId49" Type="http://schemas.openxmlformats.org/officeDocument/2006/relationships/chart" Target="charts/chart24.xml"/><Relationship Id="rId48" Type="http://schemas.openxmlformats.org/officeDocument/2006/relationships/chart" Target="charts/chart23.xml"/><Relationship Id="rId47" Type="http://schemas.openxmlformats.org/officeDocument/2006/relationships/chart" Target="charts/chart22.xml"/><Relationship Id="rId46" Type="http://schemas.openxmlformats.org/officeDocument/2006/relationships/chart" Target="charts/chart21.xml"/><Relationship Id="rId45" Type="http://schemas.openxmlformats.org/officeDocument/2006/relationships/chart" Target="charts/chart20.xml"/><Relationship Id="rId44" Type="http://schemas.openxmlformats.org/officeDocument/2006/relationships/chart" Target="charts/chart19.xml"/><Relationship Id="rId43" Type="http://schemas.openxmlformats.org/officeDocument/2006/relationships/chart" Target="charts/chart18.xml"/><Relationship Id="rId42" Type="http://schemas.openxmlformats.org/officeDocument/2006/relationships/chart" Target="charts/chart17.xml"/><Relationship Id="rId41" Type="http://schemas.openxmlformats.org/officeDocument/2006/relationships/chart" Target="charts/chart16.xml"/><Relationship Id="rId40" Type="http://schemas.openxmlformats.org/officeDocument/2006/relationships/chart" Target="charts/chart15.xml"/><Relationship Id="rId4" Type="http://schemas.openxmlformats.org/officeDocument/2006/relationships/header" Target="header1.xml"/><Relationship Id="rId39" Type="http://schemas.openxmlformats.org/officeDocument/2006/relationships/chart" Target="charts/chart14.xml"/><Relationship Id="rId38" Type="http://schemas.openxmlformats.org/officeDocument/2006/relationships/chart" Target="charts/chart13.xml"/><Relationship Id="rId37" Type="http://schemas.openxmlformats.org/officeDocument/2006/relationships/chart" Target="charts/chart12.xml"/><Relationship Id="rId36" Type="http://schemas.openxmlformats.org/officeDocument/2006/relationships/chart" Target="charts/chart11.xml"/><Relationship Id="rId35" Type="http://schemas.openxmlformats.org/officeDocument/2006/relationships/chart" Target="charts/chart10.xml"/><Relationship Id="rId34" Type="http://schemas.openxmlformats.org/officeDocument/2006/relationships/chart" Target="charts/chart9.xml"/><Relationship Id="rId33" Type="http://schemas.openxmlformats.org/officeDocument/2006/relationships/chart" Target="charts/chart8.xml"/><Relationship Id="rId32" Type="http://schemas.openxmlformats.org/officeDocument/2006/relationships/chart" Target="charts/chart7.xml"/><Relationship Id="rId31" Type="http://schemas.openxmlformats.org/officeDocument/2006/relationships/chart" Target="charts/chart6.xml"/><Relationship Id="rId30" Type="http://schemas.openxmlformats.org/officeDocument/2006/relationships/chart" Target="charts/chart5.xml"/><Relationship Id="rId3" Type="http://schemas.openxmlformats.org/officeDocument/2006/relationships/footnotes" Target="footnotes.xml"/><Relationship Id="rId29" Type="http://schemas.openxmlformats.org/officeDocument/2006/relationships/chart" Target="charts/chart4.xml"/><Relationship Id="rId28" Type="http://schemas.openxmlformats.org/officeDocument/2006/relationships/chart" Target="charts/chart3.xml"/><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chart" Target="charts/chart2.xml"/><Relationship Id="rId24" Type="http://schemas.openxmlformats.org/officeDocument/2006/relationships/chart" Target="charts/chart1.xml"/><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diagramColors" Target="diagrams/colors2.xml"/><Relationship Id="rId17" Type="http://schemas.openxmlformats.org/officeDocument/2006/relationships/diagramQuickStyle" Target="diagrams/quickStyle2.xml"/><Relationship Id="rId16" Type="http://schemas.openxmlformats.org/officeDocument/2006/relationships/diagramLayout" Target="diagrams/layout2.xml"/><Relationship Id="rId15" Type="http://schemas.openxmlformats.org/officeDocument/2006/relationships/diagramData" Target="diagrams/data2.xml"/><Relationship Id="rId14" Type="http://schemas.openxmlformats.org/officeDocument/2006/relationships/diagramColors" Target="diagrams/colors1.xml"/><Relationship Id="rId13" Type="http://schemas.openxmlformats.org/officeDocument/2006/relationships/diagramQuickStyle" Target="diagrams/quickStyle1.xml"/><Relationship Id="rId12" Type="http://schemas.openxmlformats.org/officeDocument/2006/relationships/diagramLayout" Target="diagrams/layout1.xml"/><Relationship Id="rId11" Type="http://schemas.openxmlformats.org/officeDocument/2006/relationships/diagramData" Target="diagrams/data1.xml"/><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10.xlsx"/></Relationships>
</file>

<file path=word/charts/_rels/chart10.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package" Target="../embeddings/Workbook11.xlsx"/></Relationships>
</file>

<file path=word/charts/_rels/chart11.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package" Target="../embeddings/Workbook12.xlsx"/></Relationships>
</file>

<file path=word/charts/_rels/chart12.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package" Target="../embeddings/Workbook14.xlsx"/></Relationships>
</file>

<file path=word/charts/_rels/chart13.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package" Target="../embeddings/Workbook15.xlsx"/></Relationships>
</file>

<file path=word/charts/_rels/chart14.xml.rels><?xml version="1.0" encoding="UTF-8" standalone="yes"?>
<Relationships xmlns="http://schemas.openxmlformats.org/package/2006/relationships"><Relationship Id="rId3" Type="http://schemas.microsoft.com/office/2011/relationships/chartColorStyle" Target="colors19.xml"/><Relationship Id="rId2" Type="http://schemas.microsoft.com/office/2011/relationships/chartStyle" Target="style19.xml"/><Relationship Id="rId1" Type="http://schemas.openxmlformats.org/officeDocument/2006/relationships/package" Target="../embeddings/Workbook24.xlsx"/></Relationships>
</file>

<file path=word/charts/_rels/chart15.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package" Target="../embeddings/Workbook22.xlsx"/></Relationships>
</file>

<file path=word/charts/_rels/chart16.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17.xml.rels><?xml version="1.0" encoding="UTF-8" standalone="yes"?>
<Relationships xmlns="http://schemas.openxmlformats.org/package/2006/relationships"><Relationship Id="rId3" Type="http://schemas.microsoft.com/office/2011/relationships/chartColorStyle" Target="colors16.xml"/><Relationship Id="rId2" Type="http://schemas.microsoft.com/office/2011/relationships/chartStyle" Target="style16.xml"/><Relationship Id="rId1" Type="http://schemas.openxmlformats.org/officeDocument/2006/relationships/package" Target="../embeddings/Workbook21.xlsx"/></Relationships>
</file>

<file path=word/charts/_rels/chart18.xml.rels><?xml version="1.0" encoding="UTF-8" standalone="yes"?>
<Relationships xmlns="http://schemas.openxmlformats.org/package/2006/relationships"><Relationship Id="rId9" Type="http://schemas.microsoft.com/office/2011/relationships/chartColorStyle" Target="colors12.xml"/><Relationship Id="rId8" Type="http://schemas.microsoft.com/office/2011/relationships/chartStyle" Target="style12.xml"/><Relationship Id="rId7" Type="http://schemas.openxmlformats.org/officeDocument/2006/relationships/image" Target="../media/image17.pn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package" Target="../embeddings/Workbook16.xlsx"/></Relationships>
</file>

<file path=word/charts/_rels/chart19.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package" Target="../embeddings/Workbook20.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4.xlsx"/></Relationships>
</file>

<file path=word/charts/_rels/chart20.xml.rels><?xml version="1.0" encoding="UTF-8" standalone="yes"?>
<Relationships xmlns="http://schemas.openxmlformats.org/package/2006/relationships"><Relationship Id="rId8" Type="http://schemas.microsoft.com/office/2011/relationships/chartColorStyle" Target="colors14.xml"/><Relationship Id="rId7" Type="http://schemas.microsoft.com/office/2011/relationships/chartStyle" Target="style14.xml"/><Relationship Id="rId6" Type="http://schemas.openxmlformats.org/officeDocument/2006/relationships/image" Target="../media/image21.png"/><Relationship Id="rId5" Type="http://schemas.openxmlformats.org/officeDocument/2006/relationships/image" Target="../media/image20.png"/><Relationship Id="rId4" Type="http://schemas.openxmlformats.org/officeDocument/2006/relationships/image" Target="../media/image19.png"/><Relationship Id="rId3" Type="http://schemas.openxmlformats.org/officeDocument/2006/relationships/image" Target="../media/image18.png"/><Relationship Id="rId2" Type="http://schemas.openxmlformats.org/officeDocument/2006/relationships/image" Target="../media/image12.png"/><Relationship Id="rId1" Type="http://schemas.openxmlformats.org/officeDocument/2006/relationships/package" Target="../embeddings/Workbook18.xlsx"/></Relationships>
</file>

<file path=word/charts/_rels/chart21.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package" Target="../embeddings/Workbook17.xlsx"/></Relationships>
</file>

<file path=word/charts/_rels/chart22.xml.rels><?xml version="1.0" encoding="UTF-8" standalone="yes"?>
<Relationships xmlns="http://schemas.openxmlformats.org/package/2006/relationships"><Relationship Id="rId9" Type="http://schemas.microsoft.com/office/2011/relationships/chartColorStyle" Target="colors18.xml"/><Relationship Id="rId8" Type="http://schemas.microsoft.com/office/2011/relationships/chartStyle" Target="style18.xml"/><Relationship Id="rId7" Type="http://schemas.openxmlformats.org/officeDocument/2006/relationships/image" Target="../media/image17.pn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package" Target="../embeddings/Workbook23.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Workbook19.xlsx"/></Relationships>
</file>

<file path=word/charts/_rels/chart24.xml.rels><?xml version="1.0" encoding="UTF-8" standalone="yes"?>
<Relationships xmlns="http://schemas.openxmlformats.org/package/2006/relationships"><Relationship Id="rId3" Type="http://schemas.microsoft.com/office/2011/relationships/chartColorStyle" Target="colors30.xml"/><Relationship Id="rId2" Type="http://schemas.microsoft.com/office/2011/relationships/chartStyle" Target="style30.xml"/><Relationship Id="rId1" Type="http://schemas.openxmlformats.org/officeDocument/2006/relationships/package" Target="../embeddings/Workbook36.xlsx"/></Relationships>
</file>

<file path=word/charts/_rels/chart25.xml.rels><?xml version="1.0" encoding="UTF-8" standalone="yes"?>
<Relationships xmlns="http://schemas.openxmlformats.org/package/2006/relationships"><Relationship Id="rId3" Type="http://schemas.microsoft.com/office/2011/relationships/chartColorStyle" Target="colors32.xml"/><Relationship Id="rId2" Type="http://schemas.microsoft.com/office/2011/relationships/chartStyle" Target="style32.xml"/><Relationship Id="rId1" Type="http://schemas.openxmlformats.org/officeDocument/2006/relationships/package" Target="../embeddings/Workbook38.xlsx"/></Relationships>
</file>

<file path=word/charts/_rels/chart26.xml.rels><?xml version="1.0" encoding="UTF-8" standalone="yes"?>
<Relationships xmlns="http://schemas.openxmlformats.org/package/2006/relationships"><Relationship Id="rId3" Type="http://schemas.microsoft.com/office/2011/relationships/chartColorStyle" Target="colors34.xml"/><Relationship Id="rId2" Type="http://schemas.microsoft.com/office/2011/relationships/chartStyle" Target="style34.xml"/><Relationship Id="rId1" Type="http://schemas.openxmlformats.org/officeDocument/2006/relationships/package" Target="../embeddings/Workbook40.xlsx"/></Relationships>
</file>

<file path=word/charts/_rels/chart27.xml.rels><?xml version="1.0" encoding="UTF-8" standalone="yes"?>
<Relationships xmlns="http://schemas.openxmlformats.org/package/2006/relationships"><Relationship Id="rId3" Type="http://schemas.microsoft.com/office/2011/relationships/chartColorStyle" Target="colors35.xml"/><Relationship Id="rId2" Type="http://schemas.microsoft.com/office/2011/relationships/chartStyle" Target="style35.xml"/><Relationship Id="rId1" Type="http://schemas.openxmlformats.org/officeDocument/2006/relationships/package" Target="../embeddings/Workbook41.xlsx"/></Relationships>
</file>

<file path=word/charts/_rels/chart28.xml.rels><?xml version="1.0" encoding="UTF-8" standalone="yes"?>
<Relationships xmlns="http://schemas.openxmlformats.org/package/2006/relationships"><Relationship Id="rId3" Type="http://schemas.microsoft.com/office/2011/relationships/chartColorStyle" Target="colors31.xml"/><Relationship Id="rId2" Type="http://schemas.microsoft.com/office/2011/relationships/chartStyle" Target="style31.xml"/><Relationship Id="rId1" Type="http://schemas.openxmlformats.org/officeDocument/2006/relationships/package" Target="../embeddings/Workbook37.xlsx"/></Relationships>
</file>

<file path=word/charts/_rels/chart29.xml.rels><?xml version="1.0" encoding="UTF-8" standalone="yes"?>
<Relationships xmlns="http://schemas.openxmlformats.org/package/2006/relationships"><Relationship Id="rId3" Type="http://schemas.microsoft.com/office/2011/relationships/chartColorStyle" Target="colors37.xml"/><Relationship Id="rId2" Type="http://schemas.microsoft.com/office/2011/relationships/chartStyle" Target="style37.xml"/><Relationship Id="rId1" Type="http://schemas.openxmlformats.org/officeDocument/2006/relationships/package" Target="../embeddings/Workbook43.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5.xlsx"/></Relationships>
</file>

<file path=word/charts/_rels/chart30.xml.rels><?xml version="1.0" encoding="UTF-8" standalone="yes"?>
<Relationships xmlns="http://schemas.openxmlformats.org/package/2006/relationships"><Relationship Id="rId3" Type="http://schemas.microsoft.com/office/2011/relationships/chartColorStyle" Target="colors38.xml"/><Relationship Id="rId2" Type="http://schemas.microsoft.com/office/2011/relationships/chartStyle" Target="style38.xml"/><Relationship Id="rId1" Type="http://schemas.openxmlformats.org/officeDocument/2006/relationships/package" Target="../embeddings/Workbook44.xlsx"/></Relationships>
</file>

<file path=word/charts/_rels/chart31.xml.rels><?xml version="1.0" encoding="UTF-8" standalone="yes"?>
<Relationships xmlns="http://schemas.openxmlformats.org/package/2006/relationships"><Relationship Id="rId3" Type="http://schemas.microsoft.com/office/2011/relationships/chartColorStyle" Target="colors33.xml"/><Relationship Id="rId2" Type="http://schemas.microsoft.com/office/2011/relationships/chartStyle" Target="style33.xml"/><Relationship Id="rId1" Type="http://schemas.openxmlformats.org/officeDocument/2006/relationships/package" Target="../embeddings/Workbook39.xlsx"/></Relationships>
</file>

<file path=word/charts/_rels/chart32.xml.rels><?xml version="1.0" encoding="UTF-8" standalone="yes"?>
<Relationships xmlns="http://schemas.openxmlformats.org/package/2006/relationships"><Relationship Id="rId3" Type="http://schemas.microsoft.com/office/2011/relationships/chartColorStyle" Target="colors36.xml"/><Relationship Id="rId2" Type="http://schemas.microsoft.com/office/2011/relationships/chartStyle" Target="style36.xml"/><Relationship Id="rId1" Type="http://schemas.openxmlformats.org/officeDocument/2006/relationships/package" Target="../embeddings/Workbook42.xlsx"/></Relationships>
</file>

<file path=word/charts/_rels/chart33.xml.rels><?xml version="1.0" encoding="UTF-8" standalone="yes"?>
<Relationships xmlns="http://schemas.openxmlformats.org/package/2006/relationships"><Relationship Id="rId3" Type="http://schemas.microsoft.com/office/2011/relationships/chartColorStyle" Target="colors39.xml"/><Relationship Id="rId2" Type="http://schemas.microsoft.com/office/2011/relationships/chartStyle" Target="style39.xml"/><Relationship Id="rId1" Type="http://schemas.openxmlformats.org/officeDocument/2006/relationships/package" Target="../embeddings/Workbook45.xlsx"/></Relationships>
</file>

<file path=word/charts/_rels/chart34.xml.rels><?xml version="1.0" encoding="UTF-8" standalone="yes"?>
<Relationships xmlns="http://schemas.openxmlformats.org/package/2006/relationships"><Relationship Id="rId9" Type="http://schemas.microsoft.com/office/2011/relationships/chartColorStyle" Target="colors9.xml"/><Relationship Id="rId8" Type="http://schemas.microsoft.com/office/2011/relationships/chartStyle" Target="style9.xml"/><Relationship Id="rId7" Type="http://schemas.openxmlformats.org/officeDocument/2006/relationships/image" Target="../media/image17.pn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package" Target="../embeddings/Workbook13.xlsx"/></Relationships>
</file>

<file path=word/charts/_rels/chart35.xml.rels><?xml version="1.0" encoding="UTF-8" standalone="yes"?>
<Relationships xmlns="http://schemas.openxmlformats.org/package/2006/relationships"><Relationship Id="rId7" Type="http://schemas.microsoft.com/office/2011/relationships/chartColorStyle" Target="colors20.xml"/><Relationship Id="rId6" Type="http://schemas.microsoft.com/office/2011/relationships/chartStyle" Target="style20.xml"/><Relationship Id="rId5" Type="http://schemas.openxmlformats.org/officeDocument/2006/relationships/image" Target="../media/image17.png"/><Relationship Id="rId4" Type="http://schemas.openxmlformats.org/officeDocument/2006/relationships/image" Target="../media/image15.png"/><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package" Target="../embeddings/Workbook25.xlsx"/></Relationships>
</file>

<file path=word/charts/_rels/chart36.xml.rels><?xml version="1.0" encoding="UTF-8" standalone="yes"?>
<Relationships xmlns="http://schemas.openxmlformats.org/package/2006/relationships"><Relationship Id="rId9" Type="http://schemas.microsoft.com/office/2011/relationships/chartColorStyle" Target="colors22.xml"/><Relationship Id="rId8" Type="http://schemas.microsoft.com/office/2011/relationships/chartStyle" Target="style22.xml"/><Relationship Id="rId7" Type="http://schemas.openxmlformats.org/officeDocument/2006/relationships/image" Target="../media/image23.png"/><Relationship Id="rId6" Type="http://schemas.openxmlformats.org/officeDocument/2006/relationships/image" Target="../media/image21.png"/><Relationship Id="rId5" Type="http://schemas.openxmlformats.org/officeDocument/2006/relationships/image" Target="../media/image20.png"/><Relationship Id="rId4" Type="http://schemas.openxmlformats.org/officeDocument/2006/relationships/image" Target="../media/image19.png"/><Relationship Id="rId3" Type="http://schemas.openxmlformats.org/officeDocument/2006/relationships/image" Target="../media/image18.png"/><Relationship Id="rId2" Type="http://schemas.openxmlformats.org/officeDocument/2006/relationships/image" Target="../media/image22.png"/><Relationship Id="rId1" Type="http://schemas.openxmlformats.org/officeDocument/2006/relationships/package" Target="../embeddings/Workbook27.xlsx"/></Relationships>
</file>

<file path=word/charts/_rels/chart37.xml.rels><?xml version="1.0" encoding="UTF-8" standalone="yes"?>
<Relationships xmlns="http://schemas.openxmlformats.org/package/2006/relationships"><Relationship Id="rId8" Type="http://schemas.microsoft.com/office/2011/relationships/chartColorStyle" Target="colors26.xml"/><Relationship Id="rId7" Type="http://schemas.microsoft.com/office/2011/relationships/chartStyle" Target="style26.xml"/><Relationship Id="rId6" Type="http://schemas.openxmlformats.org/officeDocument/2006/relationships/image" Target="../media/image21.png"/><Relationship Id="rId5" Type="http://schemas.openxmlformats.org/officeDocument/2006/relationships/image" Target="../media/image20.png"/><Relationship Id="rId4" Type="http://schemas.openxmlformats.org/officeDocument/2006/relationships/image" Target="../media/image19.png"/><Relationship Id="rId3" Type="http://schemas.openxmlformats.org/officeDocument/2006/relationships/image" Target="../media/image18.png"/><Relationship Id="rId2" Type="http://schemas.openxmlformats.org/officeDocument/2006/relationships/image" Target="../media/image22.png"/><Relationship Id="rId1" Type="http://schemas.openxmlformats.org/officeDocument/2006/relationships/package" Target="../embeddings/Workbook32.xlsx"/></Relationships>
</file>

<file path=word/charts/_rels/chart38.xml.rels><?xml version="1.0" encoding="UTF-8" standalone="yes"?>
<Relationships xmlns="http://schemas.openxmlformats.org/package/2006/relationships"><Relationship Id="rId3" Type="http://schemas.microsoft.com/office/2011/relationships/chartColorStyle" Target="colors24.xml"/><Relationship Id="rId2" Type="http://schemas.microsoft.com/office/2011/relationships/chartStyle" Target="style24.xml"/><Relationship Id="rId1" Type="http://schemas.openxmlformats.org/officeDocument/2006/relationships/package" Target="../embeddings/Workbook30.xlsx"/></Relationships>
</file>

<file path=word/charts/_rels/chart39.xml.rels><?xml version="1.0" encoding="UTF-8" standalone="yes"?>
<Relationships xmlns="http://schemas.openxmlformats.org/package/2006/relationships"><Relationship Id="rId3" Type="http://schemas.microsoft.com/office/2011/relationships/chartColorStyle" Target="colors25.xml"/><Relationship Id="rId2" Type="http://schemas.microsoft.com/office/2011/relationships/chartStyle" Target="style25.xml"/><Relationship Id="rId1" Type="http://schemas.openxmlformats.org/officeDocument/2006/relationships/package" Target="../embeddings/Workbook31.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6.xlsx"/></Relationships>
</file>

<file path=word/charts/_rels/chart40.xml.rels><?xml version="1.0" encoding="UTF-8" standalone="yes"?>
<Relationships xmlns="http://schemas.openxmlformats.org/package/2006/relationships"><Relationship Id="rId3" Type="http://schemas.microsoft.com/office/2011/relationships/chartColorStyle" Target="colors28.xml"/><Relationship Id="rId2" Type="http://schemas.microsoft.com/office/2011/relationships/chartStyle" Target="style28.xml"/><Relationship Id="rId1" Type="http://schemas.openxmlformats.org/officeDocument/2006/relationships/package" Target="../embeddings/Workbook34.xlsx"/></Relationships>
</file>

<file path=word/charts/_rels/chart41.xml.rels><?xml version="1.0" encoding="UTF-8" standalone="yes"?>
<Relationships xmlns="http://schemas.openxmlformats.org/package/2006/relationships"><Relationship Id="rId3" Type="http://schemas.microsoft.com/office/2011/relationships/chartColorStyle" Target="colors29.xml"/><Relationship Id="rId2" Type="http://schemas.microsoft.com/office/2011/relationships/chartStyle" Target="style29.xml"/><Relationship Id="rId1" Type="http://schemas.openxmlformats.org/officeDocument/2006/relationships/package" Target="../embeddings/Workbook35.xlsx"/></Relationships>
</file>

<file path=word/charts/_rels/chart42.xml.rels><?xml version="1.0" encoding="UTF-8" standalone="yes"?>
<Relationships xmlns="http://schemas.openxmlformats.org/package/2006/relationships"><Relationship Id="rId3" Type="http://schemas.microsoft.com/office/2011/relationships/chartColorStyle" Target="colors21.xml"/><Relationship Id="rId2" Type="http://schemas.microsoft.com/office/2011/relationships/chartStyle" Target="style21.xml"/><Relationship Id="rId1" Type="http://schemas.openxmlformats.org/officeDocument/2006/relationships/package" Target="../embeddings/Workbook26.xlsx"/></Relationships>
</file>

<file path=word/charts/_rels/chart43.xml.rels><?xml version="1.0" encoding="UTF-8" standalone="yes"?>
<Relationships xmlns="http://schemas.openxmlformats.org/package/2006/relationships"><Relationship Id="rId3" Type="http://schemas.microsoft.com/office/2011/relationships/chartColorStyle" Target="colors27.xml"/><Relationship Id="rId2" Type="http://schemas.microsoft.com/office/2011/relationships/chartStyle" Target="style27.xml"/><Relationship Id="rId1" Type="http://schemas.openxmlformats.org/officeDocument/2006/relationships/package" Target="../embeddings/Workbook3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Workbook28.xlsx"/></Relationships>
</file>

<file path=word/charts/_rels/chart45.xml.rels><?xml version="1.0" encoding="UTF-8" standalone="yes"?>
<Relationships xmlns="http://schemas.openxmlformats.org/package/2006/relationships"><Relationship Id="rId3" Type="http://schemas.microsoft.com/office/2011/relationships/chartColorStyle" Target="colors23.xml"/><Relationship Id="rId2" Type="http://schemas.microsoft.com/office/2011/relationships/chartStyle" Target="style23.xml"/><Relationship Id="rId1" Type="http://schemas.openxmlformats.org/officeDocument/2006/relationships/package" Target="../embeddings/Workbook2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Workbook8.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Workbook7.xlsx"/></Relationships>
</file>

<file path=word/charts/_rels/chart9.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1915425380745"/>
          <c:y val="0.152483388774264"/>
          <c:w val="0.410967826871959"/>
          <c:h val="0.662471346161944"/>
        </c:manualLayout>
      </c:layout>
      <c:radarChart>
        <c:radarStyle val="marker"/>
        <c:varyColors val="0"/>
        <c:ser>
          <c:idx val="0"/>
          <c:order val="0"/>
          <c:tx>
            <c:strRef>
              <c:f>Sheet1!$B$1</c:f>
              <c:strCache>
                <c:ptCount val="1"/>
                <c:pt idx="0">
                  <c:v>比例</c:v>
                </c:pt>
              </c:strCache>
            </c:strRef>
          </c:tx>
          <c:spPr>
            <a:ln w="28575" cap="rnd">
              <a:solidFill>
                <a:schemeClr val="tx2"/>
              </a:solidFill>
              <a:prstDash val="sysDash"/>
              <a:round/>
            </a:ln>
            <a:effectLst/>
          </c:spPr>
          <c:marker>
            <c:symbol val="circle"/>
            <c:size val="7"/>
            <c:spPr>
              <a:solidFill>
                <a:schemeClr val="accent4"/>
              </a:solidFill>
              <a:ln w="9525">
                <a:solidFill>
                  <a:schemeClr val="accent2"/>
                </a:solidFill>
              </a:ln>
              <a:effectLst/>
            </c:spPr>
          </c:marker>
          <c:dLbls>
            <c:dLbl>
              <c:idx val="0"/>
              <c:layout>
                <c:manualLayout>
                  <c:x val="4.91834246748458e-17"/>
                  <c:y val="-0.0228270168651064"/>
                </c:manualLayout>
              </c:layout>
              <c:showLegendKey val="0"/>
              <c:showVal val="1"/>
              <c:showCatName val="1"/>
              <c:showSerName val="0"/>
              <c:showPercent val="0"/>
              <c:showBubbleSize val="0"/>
              <c:extLst>
                <c:ext xmlns:c15="http://schemas.microsoft.com/office/drawing/2012/chart" uri="{CE6537A1-D6FC-4f65-9D91-7224C49458BB}">
                  <c15:layout>
                    <c:manualLayout>
                      <c:w val="0.329979879275654"/>
                      <c:h val="0.189250288350634"/>
                    </c:manualLayout>
                  </c15:layout>
                </c:ext>
              </c:extLst>
            </c:dLbl>
            <c:dLbl>
              <c:idx val="1"/>
              <c:layout>
                <c:manualLayout>
                  <c:x val="0.132796780684105"/>
                  <c:y val="-0.0148600403785931"/>
                </c:manualLayout>
              </c:layout>
              <c:showLegendKey val="0"/>
              <c:showVal val="1"/>
              <c:showCatName val="1"/>
              <c:showSerName val="0"/>
              <c:showPercent val="0"/>
              <c:showBubbleSize val="0"/>
              <c:extLst>
                <c:ext xmlns:c15="http://schemas.microsoft.com/office/drawing/2012/chart" uri="{CE6537A1-D6FC-4f65-9D91-7224C49458BB}">
                  <c15:layout>
                    <c:manualLayout>
                      <c:w val="0.232059020791415"/>
                      <c:h val="0.168729531645914"/>
                    </c:manualLayout>
                  </c15:layout>
                </c:ext>
              </c:extLst>
            </c:dLbl>
            <c:dLbl>
              <c:idx val="2"/>
              <c:layout>
                <c:manualLayout>
                  <c:x val="0.130114017437961"/>
                  <c:y val="0.0758564103603892"/>
                </c:manualLayout>
              </c:layout>
              <c:showLegendKey val="0"/>
              <c:showVal val="1"/>
              <c:showCatName val="1"/>
              <c:showSerName val="0"/>
              <c:showPercent val="0"/>
              <c:showBubbleSize val="0"/>
              <c:extLst>
                <c:ext xmlns:c15="http://schemas.microsoft.com/office/drawing/2012/chart" uri="{CE6537A1-D6FC-4f65-9D91-7224C49458BB}">
                  <c15:layout>
                    <c:manualLayout>
                      <c:w val="0.252179745137492"/>
                      <c:h val="0.164115921495972"/>
                    </c:manualLayout>
                  </c15:layout>
                </c:ext>
              </c:extLst>
            </c:dLbl>
            <c:dLbl>
              <c:idx val="3"/>
              <c:layout>
                <c:manualLayout>
                  <c:x val="0.00670690811535877"/>
                  <c:y val="0.0941126884686859"/>
                </c:manualLayout>
              </c:layout>
              <c:numFmt formatCode="General" sourceLinked="1"/>
              <c:spPr>
                <a:noFill/>
                <a:ln>
                  <a:noFill/>
                </a:ln>
                <a:effectLst/>
              </c:spPr>
              <c:txPr>
                <a:bodyPr rot="0" spcFirstLastPara="1" vertOverflow="clip" horzOverflow="clip" vert="horz" wrap="square" lIns="38100" tIns="19050" rIns="38100" bIns="19050" anchor="ctr" anchorCtr="1">
                  <a:noAutofit/>
                </a:bodyPr>
                <a:lstStyle/>
                <a:p>
                  <a:pPr>
                    <a:defRPr lang="zh-CN" sz="105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extLst>
                <c:ext xmlns:c15="http://schemas.microsoft.com/office/drawing/2012/chart" uri="{CE6537A1-D6FC-4f65-9D91-7224C49458BB}">
                  <c15:layout>
                    <c:manualLayout>
                      <c:w val="0.253521126760563"/>
                      <c:h val="0.141026878939403"/>
                    </c:manualLayout>
                  </c15:layout>
                </c:ext>
              </c:extLst>
            </c:dLbl>
            <c:dLbl>
              <c:idx val="4"/>
              <c:layout>
                <c:manualLayout>
                  <c:x val="-0.123263042823872"/>
                  <c:y val="-0.0184544405997693"/>
                </c:manualLayout>
              </c:layout>
              <c:showLegendKey val="0"/>
              <c:showVal val="1"/>
              <c:showCatName val="1"/>
              <c:showSerName val="0"/>
              <c:showPercent val="0"/>
              <c:showBubbleSize val="0"/>
              <c:extLst>
                <c:ext xmlns:c15="http://schemas.microsoft.com/office/drawing/2012/chart" uri="{CE6537A1-D6FC-4f65-9D91-7224C49458BB}">
                  <c15:layout>
                    <c:manualLayout>
                      <c:w val="0.261569416498994"/>
                      <c:h val="0.167935409457901"/>
                    </c:manualLayout>
                  </c15:layout>
                </c:ext>
              </c:extLst>
            </c:dLbl>
            <c:dLbl>
              <c:idx val="5"/>
              <c:layout>
                <c:manualLayout>
                  <c:x val="-0.105969148222669"/>
                  <c:y val="-0.0189194343786611"/>
                </c:manualLayout>
              </c:layout>
              <c:showLegendKey val="0"/>
              <c:showVal val="1"/>
              <c:showCatName val="1"/>
              <c:showSerName val="0"/>
              <c:showPercent val="0"/>
              <c:showBubbleSize val="0"/>
              <c:extLst>
                <c:ext xmlns:c15="http://schemas.microsoft.com/office/drawing/2012/chart" uri="{CE6537A1-D6FC-4f65-9D91-7224C49458BB}">
                  <c15:layout>
                    <c:manualLayout>
                      <c:w val="0.241448692152918"/>
                      <c:h val="0.163321799307958"/>
                    </c:manualLayout>
                  </c15:layout>
                </c:ext>
              </c:extLst>
            </c:dLbl>
            <c:spPr>
              <a:noFill/>
              <a:ln>
                <a:noFill/>
              </a:ln>
              <a:effectLst/>
            </c:spPr>
            <c:txPr>
              <a:bodyPr rot="0" spcFirstLastPara="1" vertOverflow="clip" horzOverflow="clip" vert="horz" wrap="square" lIns="38100" tIns="19050" rIns="38100" bIns="19050" anchor="ctr" anchorCtr="1">
                <a:spAutoFit/>
              </a:bodyPr>
              <a:lstStyle/>
              <a:p>
                <a:pPr>
                  <a:defRPr lang="zh-CN" sz="105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Sheet1!$A$2:$A$7</c:f>
              <c:strCache>
                <c:ptCount val="6"/>
                <c:pt idx="0">
                  <c:v>就业手续办理（户口档案迁移等）</c:v>
                </c:pt>
                <c:pt idx="1">
                  <c:v>学校发布的招聘信息</c:v>
                </c:pt>
                <c:pt idx="2">
                  <c:v>生涯规划/就业指导课</c:v>
                </c:pt>
                <c:pt idx="3">
                  <c:v>就业帮扶与推荐</c:v>
                </c:pt>
                <c:pt idx="4">
                  <c:v>校园招聘会/宣讲会</c:v>
                </c:pt>
                <c:pt idx="5">
                  <c:v>职业咨询与辅导</c:v>
                </c:pt>
              </c:strCache>
            </c:strRef>
          </c:cat>
          <c:val>
            <c:numRef>
              <c:f>Sheet1!$B$2:$B$7</c:f>
              <c:numCache>
                <c:formatCode>0.00%</c:formatCode>
                <c:ptCount val="6"/>
                <c:pt idx="0">
                  <c:v>0.952879581151832</c:v>
                </c:pt>
                <c:pt idx="1">
                  <c:v>0.936828534593898</c:v>
                </c:pt>
                <c:pt idx="2">
                  <c:v>0.931847406772396</c:v>
                </c:pt>
                <c:pt idx="3">
                  <c:v>0.930823117338003</c:v>
                </c:pt>
                <c:pt idx="4">
                  <c:v>0.930232558139535</c:v>
                </c:pt>
                <c:pt idx="5">
                  <c:v>0.919758412424504</c:v>
                </c:pt>
              </c:numCache>
            </c:numRef>
          </c:val>
        </c:ser>
        <c:dLbls>
          <c:showLegendKey val="0"/>
          <c:showVal val="0"/>
          <c:showCatName val="0"/>
          <c:showSerName val="0"/>
          <c:showPercent val="0"/>
          <c:showBubbleSize val="0"/>
        </c:dLbls>
        <c:axId val="250771488"/>
        <c:axId val="250772048"/>
      </c:radarChart>
      <c:catAx>
        <c:axId val="250771488"/>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250772048"/>
        <c:crosses val="autoZero"/>
        <c:auto val="1"/>
        <c:lblAlgn val="ctr"/>
        <c:lblOffset val="100"/>
        <c:noMultiLvlLbl val="0"/>
      </c:catAx>
      <c:valAx>
        <c:axId val="250772048"/>
        <c:scaling>
          <c:orientation val="minMax"/>
          <c:max val="1"/>
          <c:min val="0.5"/>
        </c:scaling>
        <c:delete val="1"/>
        <c:axPos val="l"/>
        <c:majorGridlines>
          <c:spPr>
            <a:ln w="9525" cap="flat" cmpd="sng" algn="ctr">
              <a:solidFill>
                <a:schemeClr val="tx1">
                  <a:lumMod val="15000"/>
                  <a:lumOff val="85000"/>
                </a:schemeClr>
              </a:solidFill>
              <a:round/>
            </a:ln>
            <a:effectLst/>
          </c:spPr>
        </c:majorGridlines>
        <c:numFmt formatCode="0.00%" sourceLinked="0"/>
        <c:majorTickMark val="out"/>
        <c:minorTickMark val="none"/>
        <c:tickLblPos val="nextTo"/>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250771488"/>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solidFill>
            <a:sysClr val="windowText" lastClr="000000"/>
          </a:solidFill>
        </a:defRPr>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154299485798"/>
          <c:y val="0.0213886900501074"/>
          <c:w val="0.786006976694654"/>
          <c:h val="0.967402767835839"/>
        </c:manualLayout>
      </c:layout>
      <c:barChart>
        <c:barDir val="bar"/>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0"/>
              <a:lstStyle/>
              <a:p>
                <a:pPr algn="l">
                  <a:defRPr lang="zh-CN" sz="105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6350" cap="flat" cmpd="sng" algn="ctr">
                      <a:solidFill>
                        <a:schemeClr val="tx1"/>
                      </a:solidFill>
                      <a:prstDash val="solid"/>
                      <a:round/>
                    </a:ln>
                    <a:effectLst/>
                  </c:spPr>
                </c15:leaderLines>
              </c:ext>
            </c:extLst>
          </c:dLbls>
          <c:cat>
            <c:strRef>
              <c:f>Sheet1!$A$2:$A$11</c:f>
              <c:strCache>
                <c:ptCount val="10"/>
                <c:pt idx="0">
                  <c:v>科学研究人员</c:v>
                </c:pt>
                <c:pt idx="1">
                  <c:v>体育工作人员</c:v>
                </c:pt>
                <c:pt idx="2">
                  <c:v>金融业务人员</c:v>
                </c:pt>
                <c:pt idx="3">
                  <c:v>经济业务人员</c:v>
                </c:pt>
                <c:pt idx="4">
                  <c:v>商业和服务业人员</c:v>
                </c:pt>
                <c:pt idx="5">
                  <c:v>办事人员和有关人员</c:v>
                </c:pt>
                <c:pt idx="6">
                  <c:v>其他专业技术人员</c:v>
                </c:pt>
                <c:pt idx="7">
                  <c:v>工程技术人员</c:v>
                </c:pt>
                <c:pt idx="8">
                  <c:v>教学人员</c:v>
                </c:pt>
                <c:pt idx="9">
                  <c:v>其他人员</c:v>
                </c:pt>
              </c:strCache>
            </c:strRef>
          </c:cat>
          <c:val>
            <c:numRef>
              <c:f>Sheet1!$B$2:$B$11</c:f>
              <c:numCache>
                <c:formatCode>0.00%</c:formatCode>
                <c:ptCount val="10"/>
                <c:pt idx="0">
                  <c:v>0.0145</c:v>
                </c:pt>
                <c:pt idx="1">
                  <c:v>0.0276</c:v>
                </c:pt>
                <c:pt idx="2">
                  <c:v>0.0421</c:v>
                </c:pt>
                <c:pt idx="3">
                  <c:v>0.0622</c:v>
                </c:pt>
                <c:pt idx="4">
                  <c:v>0.0697</c:v>
                </c:pt>
                <c:pt idx="5">
                  <c:v>0.0819</c:v>
                </c:pt>
                <c:pt idx="6">
                  <c:v>0.0992</c:v>
                </c:pt>
                <c:pt idx="7">
                  <c:v>0.1656</c:v>
                </c:pt>
                <c:pt idx="8">
                  <c:v>0.174</c:v>
                </c:pt>
                <c:pt idx="9">
                  <c:v>0.1918</c:v>
                </c:pt>
              </c:numCache>
            </c:numRef>
          </c:val>
        </c:ser>
        <c:ser>
          <c:idx val="1"/>
          <c:order val="1"/>
          <c:tx>
            <c:strRef>
              <c:f>Sheet1!$C$1</c:f>
              <c:strCache>
                <c:ptCount val="1"/>
                <c:pt idx="0">
                  <c:v>列1</c:v>
                </c:pt>
              </c:strCache>
            </c:strRef>
          </c:tx>
          <c:spPr>
            <a:solidFill>
              <a:schemeClr val="accent2"/>
            </a:solidFill>
            <a:ln>
              <a:noFill/>
            </a:ln>
            <a:effectLst/>
          </c:spPr>
          <c:invertIfNegative val="0"/>
          <c:dLbls>
            <c:spPr>
              <a:noFill/>
              <a:ln>
                <a:noFill/>
              </a:ln>
              <a:effectLst/>
            </c:spPr>
            <c:txPr>
              <a:bodyPr rot="0" spcFirstLastPara="1" vertOverflow="overflow" horzOverflow="overflow" vert="horz" wrap="none" lIns="38100" tIns="19050" rIns="38100" bIns="19050" anchor="ctr" anchorCtr="0">
                <a:spAutoFit/>
              </a:bodyPr>
              <a:lstStyle/>
              <a:p>
                <a:pPr algn="ctr">
                  <a:defRPr lang="zh-CN" sz="1050" b="0" i="0" u="none" strike="noStrike" kern="1200" baseline="0">
                    <a:solidFill>
                      <a:sysClr val="windowText" lastClr="000000"/>
                    </a:solidFill>
                    <a:latin typeface="宋体" panose="02010600030101010101" charset="-122"/>
                    <a:ea typeface="宋体" panose="02010600030101010101" charset="-122"/>
                    <a:cs typeface="+mn-cs"/>
                  </a:defRPr>
                </a:pPr>
              </a:p>
            </c:txPr>
            <c:dLblPos val="inBase"/>
            <c:showLegendKey val="0"/>
            <c:showVal val="0"/>
            <c:showCatName val="1"/>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shade val="95000"/>
                          <a:satMod val="105000"/>
                        </a:schemeClr>
                      </a:solidFill>
                      <a:prstDash val="solid"/>
                      <a:round/>
                    </a:ln>
                    <a:effectLst/>
                  </c:spPr>
                </c15:leaderLines>
              </c:ext>
            </c:extLst>
          </c:dLbls>
          <c:cat>
            <c:strRef>
              <c:f>Sheet1!$A$2:$A$11</c:f>
              <c:strCache>
                <c:ptCount val="10"/>
                <c:pt idx="0">
                  <c:v>科学研究人员</c:v>
                </c:pt>
                <c:pt idx="1">
                  <c:v>体育工作人员</c:v>
                </c:pt>
                <c:pt idx="2">
                  <c:v>金融业务人员</c:v>
                </c:pt>
                <c:pt idx="3">
                  <c:v>经济业务人员</c:v>
                </c:pt>
                <c:pt idx="4">
                  <c:v>商业和服务业人员</c:v>
                </c:pt>
                <c:pt idx="5">
                  <c:v>办事人员和有关人员</c:v>
                </c:pt>
                <c:pt idx="6">
                  <c:v>其他专业技术人员</c:v>
                </c:pt>
                <c:pt idx="7">
                  <c:v>工程技术人员</c:v>
                </c:pt>
                <c:pt idx="8">
                  <c:v>教学人员</c:v>
                </c:pt>
                <c:pt idx="9">
                  <c:v>其他人员</c:v>
                </c:pt>
              </c:strCache>
            </c:strRef>
          </c:cat>
          <c:val>
            <c:numRef>
              <c:f>Sheet1!$C$2:$C$11</c:f>
              <c:numCache>
                <c:formatCode>General</c:formatCode>
                <c:ptCount val="10"/>
                <c:pt idx="0">
                  <c:v>0</c:v>
                </c:pt>
                <c:pt idx="1">
                  <c:v>0</c:v>
                </c:pt>
                <c:pt idx="2">
                  <c:v>0</c:v>
                </c:pt>
                <c:pt idx="3">
                  <c:v>0</c:v>
                </c:pt>
                <c:pt idx="4">
                  <c:v>0</c:v>
                </c:pt>
                <c:pt idx="5">
                  <c:v>0</c:v>
                </c:pt>
                <c:pt idx="6">
                  <c:v>0</c:v>
                </c:pt>
                <c:pt idx="7">
                  <c:v>0</c:v>
                </c:pt>
                <c:pt idx="8">
                  <c:v>0</c:v>
                </c:pt>
                <c:pt idx="9">
                  <c:v>0</c:v>
                </c:pt>
              </c:numCache>
            </c:numRef>
          </c:val>
        </c:ser>
        <c:dLbls>
          <c:showLegendKey val="0"/>
          <c:showVal val="0"/>
          <c:showCatName val="0"/>
          <c:showSerName val="0"/>
          <c:showPercent val="0"/>
          <c:showBubbleSize val="0"/>
        </c:dLbls>
        <c:gapWidth val="30"/>
        <c:axId val="274564144"/>
        <c:axId val="274564704"/>
      </c:barChart>
      <c:catAx>
        <c:axId val="274564144"/>
        <c:scaling>
          <c:orientation val="minMax"/>
        </c:scaling>
        <c:delete val="0"/>
        <c:axPos val="l"/>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0" vertOverflow="ellipsis" vert="horz" wrap="square" anchor="ctr" anchorCtr="1"/>
          <a:lstStyle/>
          <a:p>
            <a:pPr>
              <a:defRPr lang="zh-CN" sz="900" b="0" i="0" u="none" strike="noStrike" kern="1200" baseline="0">
                <a:noFill/>
                <a:latin typeface="+mn-lt"/>
                <a:ea typeface="+mn-ea"/>
                <a:cs typeface="+mn-cs"/>
              </a:defRPr>
            </a:pPr>
          </a:p>
        </c:txPr>
        <c:crossAx val="274564704"/>
        <c:crosses val="autoZero"/>
        <c:auto val="1"/>
        <c:lblAlgn val="ctr"/>
        <c:lblOffset val="100"/>
        <c:tickLblSkip val="1"/>
        <c:noMultiLvlLbl val="0"/>
      </c:catAx>
      <c:valAx>
        <c:axId val="274564704"/>
        <c:scaling>
          <c:orientation val="minMax"/>
          <c:max val="0.2"/>
        </c:scaling>
        <c:delete val="1"/>
        <c:axPos val="b"/>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74564144"/>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sz="1000"/>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6372102583563"/>
          <c:y val="0.0429056181061479"/>
          <c:w val="0.569255015536851"/>
          <c:h val="0.953590945640465"/>
        </c:manualLayout>
      </c:layout>
      <c:barChart>
        <c:barDir val="bar"/>
        <c:grouping val="clustered"/>
        <c:varyColors val="0"/>
        <c:ser>
          <c:idx val="0"/>
          <c:order val="0"/>
          <c:tx>
            <c:strRef>
              <c:f>Sheet1!$B$1</c:f>
              <c:strCache>
                <c:ptCount val="1"/>
                <c:pt idx="0">
                  <c:v>升学率</c:v>
                </c:pt>
              </c:strCache>
            </c:strRef>
          </c:tx>
          <c:spPr>
            <a:solidFill>
              <a:schemeClr val="accent1"/>
            </a:solidFill>
            <a:ln w="12700">
              <a:solidFill>
                <a:schemeClr val="bg1"/>
              </a:solidFill>
            </a:ln>
            <a:effectLst/>
          </c:spPr>
          <c:invertIfNegative val="0"/>
          <c:dPt>
            <c:idx val="5"/>
            <c:invertIfNegative val="0"/>
            <c:bubble3D val="0"/>
            <c:spPr>
              <a:solidFill>
                <a:schemeClr val="accent1"/>
              </a:solidFill>
              <a:ln w="12700">
                <a:solidFill>
                  <a:schemeClr val="bg1"/>
                </a:solidFill>
              </a:ln>
              <a:effectLst/>
            </c:spPr>
          </c:dPt>
          <c:dPt>
            <c:idx val="6"/>
            <c:invertIfNegative val="0"/>
            <c:bubble3D val="0"/>
            <c:spPr>
              <a:solidFill>
                <a:schemeClr val="accent1"/>
              </a:solidFill>
              <a:ln w="12700">
                <a:solidFill>
                  <a:schemeClr val="bg1"/>
                </a:solidFill>
              </a:ln>
              <a:effectLst/>
            </c:spPr>
          </c:dPt>
          <c:dPt>
            <c:idx val="7"/>
            <c:invertIfNegative val="0"/>
            <c:bubble3D val="0"/>
            <c:spPr>
              <a:solidFill>
                <a:schemeClr val="accent1"/>
              </a:solidFill>
              <a:ln w="12700">
                <a:solidFill>
                  <a:schemeClr val="bg1"/>
                </a:solidFill>
              </a:ln>
              <a:effectLst/>
            </c:spPr>
          </c:dPt>
          <c:dPt>
            <c:idx val="8"/>
            <c:invertIfNegative val="0"/>
            <c:bubble3D val="0"/>
            <c:spPr>
              <a:solidFill>
                <a:schemeClr val="accent1"/>
              </a:solidFill>
              <a:ln w="12700">
                <a:solidFill>
                  <a:schemeClr val="bg1"/>
                </a:solidFill>
              </a:ln>
              <a:effectLst/>
            </c:spPr>
          </c:dPt>
          <c:dPt>
            <c:idx val="9"/>
            <c:invertIfNegative val="0"/>
            <c:bubble3D val="0"/>
            <c:spPr>
              <a:solidFill>
                <a:schemeClr val="accent1"/>
              </a:solidFill>
              <a:ln w="12700">
                <a:solidFill>
                  <a:schemeClr val="bg1"/>
                </a:solid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5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6350" cap="flat" cmpd="sng" algn="ctr">
                      <a:solidFill>
                        <a:schemeClr val="tx1"/>
                      </a:solidFill>
                      <a:prstDash val="solid"/>
                      <a:round/>
                    </a:ln>
                    <a:effectLst/>
                  </c:spPr>
                </c15:leaderLines>
              </c:ext>
            </c:extLst>
          </c:dLbls>
          <c:cat>
            <c:strRef>
              <c:f>Sheet1!$A$2:$A$12</c:f>
              <c:strCache>
                <c:ptCount val="11"/>
                <c:pt idx="0">
                  <c:v>科研设计单位</c:v>
                </c:pt>
                <c:pt idx="1">
                  <c:v>农村建制村</c:v>
                </c:pt>
                <c:pt idx="2">
                  <c:v>高等教育单位</c:v>
                </c:pt>
                <c:pt idx="3">
                  <c:v>城镇社区</c:v>
                </c:pt>
                <c:pt idx="4">
                  <c:v>医疗卫生单位</c:v>
                </c:pt>
                <c:pt idx="5">
                  <c:v>机关</c:v>
                </c:pt>
                <c:pt idx="6">
                  <c:v>其他事业单位</c:v>
                </c:pt>
                <c:pt idx="7">
                  <c:v>三资企业</c:v>
                </c:pt>
                <c:pt idx="8">
                  <c:v>中初教育单位</c:v>
                </c:pt>
                <c:pt idx="9">
                  <c:v>国有企业</c:v>
                </c:pt>
                <c:pt idx="10">
                  <c:v>其他企业</c:v>
                </c:pt>
              </c:strCache>
            </c:strRef>
          </c:cat>
          <c:val>
            <c:numRef>
              <c:f>Sheet1!$B$2:$B$12</c:f>
              <c:numCache>
                <c:formatCode>0.00%</c:formatCode>
                <c:ptCount val="11"/>
                <c:pt idx="0">
                  <c:v>0.0002</c:v>
                </c:pt>
                <c:pt idx="1">
                  <c:v>0.0005</c:v>
                </c:pt>
                <c:pt idx="2">
                  <c:v>0.0012</c:v>
                </c:pt>
                <c:pt idx="3">
                  <c:v>0.0012</c:v>
                </c:pt>
                <c:pt idx="4">
                  <c:v>0.004</c:v>
                </c:pt>
                <c:pt idx="5">
                  <c:v>0.0112</c:v>
                </c:pt>
                <c:pt idx="6">
                  <c:v>0.0122</c:v>
                </c:pt>
                <c:pt idx="7">
                  <c:v>0.0194</c:v>
                </c:pt>
                <c:pt idx="8">
                  <c:v>0.0765</c:v>
                </c:pt>
                <c:pt idx="9">
                  <c:v>0.0889</c:v>
                </c:pt>
                <c:pt idx="10">
                  <c:v>0.7848</c:v>
                </c:pt>
              </c:numCache>
            </c:numRef>
          </c:val>
        </c:ser>
        <c:dLbls>
          <c:showLegendKey val="0"/>
          <c:showVal val="1"/>
          <c:showCatName val="0"/>
          <c:showSerName val="0"/>
          <c:showPercent val="0"/>
          <c:showBubbleSize val="0"/>
        </c:dLbls>
        <c:gapWidth val="80"/>
        <c:axId val="274566944"/>
        <c:axId val="274566384"/>
      </c:barChart>
      <c:catAx>
        <c:axId val="274566944"/>
        <c:scaling>
          <c:orientation val="minMax"/>
        </c:scaling>
        <c:delete val="0"/>
        <c:axPos val="l"/>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1050" b="0" i="0" u="none" strike="noStrike" kern="1200" baseline="0">
                <a:solidFill>
                  <a:sysClr val="windowText" lastClr="000000"/>
                </a:solidFill>
                <a:latin typeface="+mn-ea"/>
                <a:ea typeface="+mn-ea"/>
                <a:cs typeface="+mn-cs"/>
              </a:defRPr>
            </a:pPr>
          </a:p>
        </c:txPr>
        <c:crossAx val="274566384"/>
        <c:crosses val="autoZero"/>
        <c:auto val="1"/>
        <c:lblAlgn val="ctr"/>
        <c:lblOffset val="100"/>
        <c:tickLblSkip val="1"/>
        <c:noMultiLvlLbl val="0"/>
      </c:catAx>
      <c:valAx>
        <c:axId val="274566384"/>
        <c:scaling>
          <c:orientation val="minMax"/>
          <c:max val="1"/>
          <c:min val="-0.02"/>
        </c:scaling>
        <c:delete val="1"/>
        <c:axPos val="b"/>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ysClr val="windowText" lastClr="000000"/>
                </a:solidFill>
                <a:latin typeface="+mn-lt"/>
                <a:ea typeface="+mn-ea"/>
                <a:cs typeface="+mn-cs"/>
              </a:defRPr>
            </a:pPr>
          </a:p>
        </c:txPr>
        <c:crossAx val="274566944"/>
        <c:crosses val="autoZero"/>
        <c:crossBetween val="between"/>
        <c:majorUnit val="0.01"/>
      </c:valAx>
      <c:spPr>
        <a:solidFill>
          <a:schemeClr val="bg1"/>
        </a:solidFill>
        <a:ln w="25366">
          <a:noFill/>
        </a:ln>
        <a:effectLst/>
      </c:spPr>
    </c:plotArea>
    <c:plotVisOnly val="1"/>
    <c:dispBlanksAs val="zero"/>
    <c:showDLblsOverMax val="0"/>
  </c:chart>
  <c:spPr>
    <a:solidFill>
      <a:schemeClr val="bg1"/>
    </a:solidFill>
    <a:ln w="9512" cap="flat" cmpd="sng" algn="ctr">
      <a:noFill/>
      <a:prstDash val="solid"/>
      <a:round/>
    </a:ln>
    <a:effectLst/>
  </c:spPr>
  <c:txPr>
    <a:bodyPr rot="0" spcFirstLastPara="0" vertOverflow="ellipsis" horzOverflow="overflow" vert="horz" wrap="square" anchor="ctr" anchorCtr="1"/>
    <a:lstStyle/>
    <a:p>
      <a:pPr>
        <a:defRPr lang="zh-CN">
          <a:solidFill>
            <a:sysClr val="windowText" lastClr="000000"/>
          </a:solidFill>
        </a:defRPr>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doughnutChart>
        <c:varyColors val="1"/>
        <c:ser>
          <c:idx val="0"/>
          <c:order val="0"/>
          <c:tx>
            <c:strRef>
              <c:f>Sheet1!$B$1</c:f>
              <c:strCache>
                <c:ptCount val="1"/>
                <c:pt idx="0">
                  <c:v>销售额</c:v>
                </c:pt>
              </c:strCache>
            </c:strRef>
          </c:tx>
          <c:spPr/>
          <c:explosion val="0"/>
          <c:dPt>
            <c:idx val="0"/>
            <c:bubble3D val="0"/>
            <c:spPr>
              <a:solidFill>
                <a:schemeClr val="accent1">
                  <a:shade val="47000"/>
                </a:schemeClr>
              </a:solidFill>
              <a:ln w="19050">
                <a:solidFill>
                  <a:schemeClr val="lt1"/>
                </a:solidFill>
              </a:ln>
              <a:effectLst/>
            </c:spPr>
          </c:dPt>
          <c:dPt>
            <c:idx val="1"/>
            <c:bubble3D val="0"/>
            <c:spPr>
              <a:solidFill>
                <a:schemeClr val="accent1">
                  <a:shade val="65000"/>
                </a:schemeClr>
              </a:solidFill>
              <a:ln w="19050">
                <a:solidFill>
                  <a:schemeClr val="lt1"/>
                </a:solidFill>
              </a:ln>
              <a:effectLst/>
            </c:spPr>
          </c:dPt>
          <c:dPt>
            <c:idx val="2"/>
            <c:bubble3D val="0"/>
            <c:spPr>
              <a:solidFill>
                <a:schemeClr val="accent1">
                  <a:shade val="82000"/>
                </a:schemeClr>
              </a:solidFill>
              <a:ln w="19050">
                <a:solidFill>
                  <a:schemeClr val="lt1"/>
                </a:solidFill>
              </a:ln>
              <a:effectLst/>
            </c:spPr>
          </c:dPt>
          <c:dPt>
            <c:idx val="3"/>
            <c:bubble3D val="0"/>
            <c:spPr>
              <a:solidFill>
                <a:schemeClr val="accent1"/>
              </a:solidFill>
              <a:ln w="19050">
                <a:solidFill>
                  <a:schemeClr val="lt1"/>
                </a:solidFill>
              </a:ln>
              <a:effectLst/>
            </c:spPr>
          </c:dPt>
          <c:dPt>
            <c:idx val="4"/>
            <c:bubble3D val="0"/>
            <c:spPr>
              <a:solidFill>
                <a:schemeClr val="accent1">
                  <a:tint val="83000"/>
                </a:schemeClr>
              </a:solidFill>
              <a:ln w="19050">
                <a:solidFill>
                  <a:schemeClr val="lt1"/>
                </a:solidFill>
              </a:ln>
              <a:effectLst/>
            </c:spPr>
          </c:dPt>
          <c:dPt>
            <c:idx val="5"/>
            <c:bubble3D val="0"/>
            <c:spPr>
              <a:solidFill>
                <a:schemeClr val="accent1">
                  <a:tint val="65000"/>
                </a:schemeClr>
              </a:solidFill>
              <a:ln w="19050">
                <a:solidFill>
                  <a:schemeClr val="lt1"/>
                </a:solidFill>
              </a:ln>
              <a:effectLst/>
            </c:spPr>
          </c:dPt>
          <c:dPt>
            <c:idx val="6"/>
            <c:bubble3D val="0"/>
            <c:spPr>
              <a:solidFill>
                <a:schemeClr val="accent1">
                  <a:tint val="48000"/>
                </a:schemeClr>
              </a:solidFill>
              <a:ln w="19050">
                <a:solidFill>
                  <a:schemeClr val="lt1"/>
                </a:solidFill>
              </a:ln>
              <a:effectLst/>
            </c:spPr>
          </c:dPt>
          <c:dLbls>
            <c:dLbl>
              <c:idx val="0"/>
              <c:layout>
                <c:manualLayout>
                  <c:x val="0.0894043590463142"/>
                  <c:y val="-0.0634921533442396"/>
                </c:manualLayout>
              </c:layout>
              <c:tx>
                <c:rich>
                  <a:bodyPr rot="0" spcFirstLastPara="1" vertOverflow="ellipsis" vert="horz" wrap="square" lIns="38100" tIns="19050" rIns="38100" bIns="19050" anchor="ctr" anchorCtr="1"/>
                  <a:lstStyle/>
                  <a:p>
                    <a:fld id="{49eee6c0-5ef0-485b-884f-5b19fe706217}" type="CELLRANGE">
                      <a:t>[CELLRANGE]</a:t>
                    </a:fld>
                    <a:r>
                      <a:t>,</a:t>
                    </a:r>
                    <a:fld id="{7e16685c-f448-44ab-987a-616611172360}" type="VALUE">
                      <a:t>[VALUE]</a:t>
                    </a:fld>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dLbl>
              <c:idx val="1"/>
              <c:layout>
                <c:manualLayout>
                  <c:x val="0.0714535840252672"/>
                  <c:y val="0.0960626147468446"/>
                </c:manualLayout>
              </c:layout>
              <c:tx>
                <c:rich>
                  <a:bodyPr rot="0" spcFirstLastPara="1" vertOverflow="ellipsis" vert="horz" wrap="square" lIns="38100" tIns="19050" rIns="38100" bIns="19050" anchor="ctr" anchorCtr="1"/>
                  <a:lstStyle/>
                  <a:p>
                    <a:fld id="{494a0f6b-f8c8-439a-9d78-6308038d2818}" type="CELLRANGE">
                      <a:t>[CELLRANGE]</a:t>
                    </a:fld>
                    <a:r>
                      <a:t>,</a:t>
                    </a:r>
                    <a:fld id="{10595b60-a9b1-4c78-8f50-2d2d1e637b8d}" type="VALUE">
                      <a:t>[VALUE]</a:t>
                    </a:fld>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dLbl>
              <c:idx val="2"/>
              <c:layout>
                <c:manualLayout>
                  <c:x val="0.0315774993534612"/>
                  <c:y val="0.110601900858726"/>
                </c:manualLayout>
              </c:layout>
              <c:tx>
                <c:rich>
                  <a:bodyPr rot="0" spcFirstLastPara="1" vertOverflow="ellipsis" vert="horz" wrap="square" lIns="38100" tIns="19050" rIns="38100" bIns="19050" anchor="ctr" anchorCtr="1"/>
                  <a:lstStyle/>
                  <a:p>
                    <a:fld id="{b09d9d93-f0ce-48b0-a638-792818bb51ce}" type="CELLRANGE">
                      <a:t>[CELLRANGE]</a:t>
                    </a:fld>
                    <a:r>
                      <a:t>,</a:t>
                    </a:r>
                    <a:fld id="{ce55308b-2343-4831-9b60-44edc0f1d91f}" type="VALUE">
                      <a:t>[VALUE]</a:t>
                    </a:fld>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dLbl>
              <c:idx val="3"/>
              <c:layout>
                <c:manualLayout>
                  <c:x val="-0.0287822512751944"/>
                  <c:y val="0.104977442161929"/>
                </c:manualLayout>
              </c:layout>
              <c:tx>
                <c:rich>
                  <a:bodyPr rot="0" spcFirstLastPara="1" vertOverflow="ellipsis" vert="horz" wrap="square" lIns="38100" tIns="19050" rIns="38100" bIns="19050" anchor="ctr" anchorCtr="1"/>
                  <a:lstStyle/>
                  <a:p>
                    <a:fld id="{2734c882-1a1a-4a2f-a150-1d49f9cfc5df}" type="CELLRANGE">
                      <a:t>[CELLRANGE]</a:t>
                    </a:fld>
                    <a:r>
                      <a:t>,</a:t>
                    </a:r>
                    <a:fld id="{7d264ea7-ece8-41a5-9304-d58b9d3e5ca1}" type="VALUE">
                      <a:t>[VALUE]</a:t>
                    </a:fld>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dLbl>
              <c:idx val="4"/>
              <c:layout>
                <c:manualLayout>
                  <c:x val="-0.0818045857475363"/>
                  <c:y val="0.0623052959501558"/>
                </c:manualLayout>
              </c:layout>
              <c:tx>
                <c:rich>
                  <a:bodyPr rot="0" spcFirstLastPara="1" vertOverflow="ellipsis" vert="horz" wrap="square" lIns="38100" tIns="19050" rIns="38100" bIns="19050" anchor="ctr" anchorCtr="1"/>
                  <a:lstStyle/>
                  <a:p>
                    <a:fld id="{27e9122f-e079-46be-a5dd-e52ed5b6e9de}" type="CELLRANGE">
                      <a:t>[CELLRANGE]</a:t>
                    </a:fld>
                    <a:r>
                      <a:t>,</a:t>
                    </a:r>
                    <a:fld id="{4c91f674-ce6d-4a8d-913d-5d5b97dfbda5}" type="VALUE">
                      <a:t>[VALUE]</a:t>
                    </a:fld>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dLbl>
              <c:idx val="5"/>
              <c:layout>
                <c:manualLayout>
                  <c:x val="-0.128057357610173"/>
                  <c:y val="-0.016389198654266"/>
                </c:manualLayout>
              </c:layout>
              <c:tx>
                <c:rich>
                  <a:bodyPr rot="0" spcFirstLastPara="1" vertOverflow="ellipsis" vert="horz" wrap="square" lIns="38100" tIns="19050" rIns="38100" bIns="19050" anchor="ctr" anchorCtr="1"/>
                  <a:lstStyle/>
                  <a:p>
                    <a:fld id="{2337e7cc-6355-451d-8ed6-9e6bf177487a}" type="CELLRANGE">
                      <a:t>[CELLRANGE]</a:t>
                    </a:fld>
                    <a:r>
                      <a:t>,</a:t>
                    </a:r>
                    <a:fld id="{0f66a09a-d038-4994-9878-c7c42bc52299}" type="VALUE">
                      <a:t>[VALUE]</a:t>
                    </a:fld>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dLbl>
              <c:idx val="6"/>
              <c:layout>
                <c:manualLayout>
                  <c:x val="-0.0894916280119073"/>
                  <c:y val="-0.0833332389885484"/>
                </c:manualLayout>
              </c:layout>
              <c:tx>
                <c:rich>
                  <a:bodyPr rot="0" spcFirstLastPara="1" vertOverflow="ellipsis" vert="horz" wrap="square" lIns="38100" tIns="19050" rIns="38100" bIns="19050" anchor="ctr" anchorCtr="1"/>
                  <a:lstStyle/>
                  <a:p>
                    <a:fld id="{0af34f6a-0dce-4778-8dab-9019036ea6ff}" type="CELLRANGE">
                      <a:t>[CELLRANGE]</a:t>
                    </a:fld>
                    <a:r>
                      <a:t>,</a:t>
                    </a:r>
                    <a:fld id="{6d80da0d-c82e-42de-8e46-ee9f7b11e3f6}" type="VALUE">
                      <a:t>[VALUE]</a:t>
                    </a:fld>
                  </a:p>
                </c:rich>
              </c:tx>
              <c:showLegendKey val="0"/>
              <c:showVal val="1"/>
              <c:showCatName val="0"/>
              <c:showSerName val="0"/>
              <c:showPercent val="0"/>
              <c:showBubbleSize val="0"/>
              <c:extLst>
                <c:ext xmlns:c15="http://schemas.microsoft.com/office/drawing/2012/chart" uri="{CE6537A1-D6FC-4f65-9D91-7224C49458BB}">
                  <c15:layout>
                    <c:manualLayout>
                      <c:w val="0.230607966457023"/>
                      <c:h val="0.203067337646777"/>
                    </c:manualLayout>
                  </c15:layout>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1050" b="0" i="0" u="none" strike="noStrike" kern="1200" baseline="0">
                    <a:solidFill>
                      <a:schemeClr val="tx1">
                        <a:lumMod val="75000"/>
                        <a:lumOff val="25000"/>
                      </a:schemeClr>
                    </a:solidFill>
                    <a:latin typeface="Times New Roman" panose="02020603050405020304" charset="0"/>
                    <a:ea typeface="+mn-ea"/>
                    <a:cs typeface="+mn-cs"/>
                  </a:defRPr>
                </a:pPr>
              </a:p>
            </c:txPr>
            <c:showLegendKey val="0"/>
            <c:showVal val="1"/>
            <c:showCatName val="0"/>
            <c:showSerName val="0"/>
            <c:showPercent val="0"/>
            <c:showBubbleSize val="0"/>
            <c:showLeaderLines val="0"/>
            <c:extLst>
              <c:ext xmlns:c15="http://schemas.microsoft.com/office/drawing/2012/chart" uri="{CE6537A1-D6FC-4f65-9D91-7224C49458BB}">
                <c15:layout/>
                <c15:showDataLabelsRange val="1"/>
                <c15:showLeaderLines val="0"/>
                <c15:leaderLines>
                  <c:spPr>
                    <a:ln w="9525" cap="flat" cmpd="sng" algn="ctr">
                      <a:solidFill>
                        <a:schemeClr val="tx1">
                          <a:lumMod val="35000"/>
                          <a:lumOff val="65000"/>
                        </a:schemeClr>
                      </a:solidFill>
                      <a:round/>
                    </a:ln>
                    <a:effectLst/>
                  </c:spPr>
                </c15:leaderLines>
              </c:ext>
            </c:extLst>
          </c:dLbls>
          <c:cat>
            <c:strRef>
              <c:f>Sheet1!$A$2:$A$8</c:f>
              <c:strCache>
                <c:ptCount val="7"/>
                <c:pt idx="0">
                  <c:v>50人及以下</c:v>
                </c:pt>
                <c:pt idx="1">
                  <c:v>51-100人</c:v>
                </c:pt>
                <c:pt idx="2">
                  <c:v>101-200人</c:v>
                </c:pt>
                <c:pt idx="3">
                  <c:v>201-300人</c:v>
                </c:pt>
                <c:pt idx="4">
                  <c:v>301-1000人</c:v>
                </c:pt>
                <c:pt idx="5">
                  <c:v>1001-2000人</c:v>
                </c:pt>
                <c:pt idx="6">
                  <c:v>2001人及以上</c:v>
                </c:pt>
              </c:strCache>
            </c:strRef>
          </c:cat>
          <c:val>
            <c:numRef>
              <c:f>Sheet1!$B$2:$B$8</c:f>
              <c:numCache>
                <c:formatCode>0.00%</c:formatCode>
                <c:ptCount val="7"/>
                <c:pt idx="0">
                  <c:v>0.248415716096325</c:v>
                </c:pt>
                <c:pt idx="1">
                  <c:v>0.152091254752852</c:v>
                </c:pt>
                <c:pt idx="2">
                  <c:v>0.100126742712294</c:v>
                </c:pt>
                <c:pt idx="3">
                  <c:v>0.0874524714828897</c:v>
                </c:pt>
                <c:pt idx="4">
                  <c:v>0.128010139416983</c:v>
                </c:pt>
                <c:pt idx="5">
                  <c:v>0.0722433460076046</c:v>
                </c:pt>
                <c:pt idx="6">
                  <c:v>0.211660329531052</c:v>
                </c:pt>
              </c:numCache>
            </c:numRef>
          </c:val>
          <c:extLst>
            <c:ext xmlns:c15="http://schemas.microsoft.com/office/drawing/2012/chart" uri="{02D57815-91ED-43cb-92C2-25804820EDAC}">
              <c15:datalabelsRange>
                <c15:f>Sheet1!$A$2:$A$8</c15:f>
                <c15:dlblRangeCache>
                  <c:ptCount val="7"/>
                  <c:pt idx="0">
                    <c:v>50人及以下</c:v>
                  </c:pt>
                  <c:pt idx="1">
                    <c:v>51-100人</c:v>
                  </c:pt>
                  <c:pt idx="2">
                    <c:v>101-200人</c:v>
                  </c:pt>
                  <c:pt idx="3">
                    <c:v>201-300人</c:v>
                  </c:pt>
                  <c:pt idx="4">
                    <c:v>301-1000人</c:v>
                  </c:pt>
                  <c:pt idx="5">
                    <c:v>1001-2000人</c:v>
                  </c:pt>
                  <c:pt idx="6">
                    <c:v>2001人及以上</c:v>
                  </c:pt>
                </c15:dlblRangeCache>
              </c15:datalabelsRange>
            </c:ext>
          </c:extLst>
        </c:ser>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gap"/>
    <c:showDLblsOverMax val="0"/>
  </c:chart>
  <c:spPr>
    <a:noFill/>
    <a:ln w="9525" cap="flat" cmpd="sng" algn="ctr">
      <a:noFill/>
      <a:round/>
    </a:ln>
    <a:effectLst/>
  </c:spPr>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966212017806"/>
          <c:y val="0"/>
          <c:w val="0.873033760227208"/>
          <c:h val="0.998412002115787"/>
        </c:manualLayout>
      </c:layout>
      <c:barChart>
        <c:barDir val="bar"/>
        <c:grouping val="clustered"/>
        <c:varyColors val="0"/>
        <c:ser>
          <c:idx val="0"/>
          <c:order val="0"/>
          <c:tx>
            <c:strRef>
              <c:f>Sheet1!$B$1</c:f>
              <c:strCache>
                <c:ptCount val="1"/>
                <c:pt idx="0">
                  <c:v>系列 1</c:v>
                </c:pt>
              </c:strCache>
            </c:strRef>
          </c:tx>
          <c:spPr>
            <a:solidFill>
              <a:schemeClr val="accent1"/>
            </a:solidFill>
            <a:ln>
              <a:noFill/>
            </a:ln>
            <a:effectLst/>
          </c:spPr>
          <c:invertIfNegative val="0"/>
          <c:dLbls>
            <c:dLbl>
              <c:idx val="12"/>
              <c:layout>
                <c:manualLayout>
                  <c:x val="0.00033500837520938"/>
                  <c:y val="0.0042515118738102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0.002568397543272"/>
                  <c:y val="-0.000749444195517605"/>
                </c:manualLayout>
              </c:layout>
              <c:numFmt formatCode="General" sourceLinked="1"/>
              <c:spPr>
                <a:noFill/>
                <a:ln>
                  <a:noFill/>
                </a:ln>
                <a:effectLst/>
              </c:spPr>
              <c:txPr>
                <a:bodyPr rot="0" spcFirstLastPara="0" vertOverflow="ellipsis" vert="horz" wrap="square" lIns="38100" tIns="19050" rIns="38100" bIns="19050" anchor="ctr" anchorCtr="0"/>
                <a:lstStyle/>
                <a:p>
                  <a:pPr>
                    <a:defRPr lang="zh-CN" sz="1050" b="0" i="0" u="none" strike="noStrike" kern="120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0"/>
              <a:lstStyle/>
              <a:p>
                <a:pPr algn="l">
                  <a:defRPr lang="zh-CN" sz="105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6350" cap="flat" cmpd="sng" algn="ctr">
                      <a:solidFill>
                        <a:schemeClr val="tx1"/>
                      </a:solidFill>
                      <a:prstDash val="solid"/>
                      <a:round/>
                    </a:ln>
                    <a:effectLst/>
                  </c:spPr>
                </c15:leaderLines>
              </c:ext>
            </c:extLst>
          </c:dLbls>
          <c:cat>
            <c:strRef>
              <c:f>Sheet1!$A$2:$A$15</c:f>
              <c:strCache>
                <c:ptCount val="14"/>
                <c:pt idx="0">
                  <c:v>新闻和出版业</c:v>
                </c:pt>
                <c:pt idx="1">
                  <c:v>土木工程建筑业</c:v>
                </c:pt>
                <c:pt idx="2">
                  <c:v>商务服务业</c:v>
                </c:pt>
                <c:pt idx="3">
                  <c:v>体育</c:v>
                </c:pt>
                <c:pt idx="4">
                  <c:v>电信、广播电视和卫星传输服务</c:v>
                </c:pt>
                <c:pt idx="5">
                  <c:v>医药制造业</c:v>
                </c:pt>
                <c:pt idx="6">
                  <c:v>广播、电视、电影和影视录音制作业</c:v>
                </c:pt>
                <c:pt idx="7">
                  <c:v>互联网和相关服务</c:v>
                </c:pt>
                <c:pt idx="8">
                  <c:v>软件和信息技术服务业</c:v>
                </c:pt>
                <c:pt idx="9">
                  <c:v>零售业</c:v>
                </c:pt>
                <c:pt idx="10">
                  <c:v>纺织服装、服饰业</c:v>
                </c:pt>
                <c:pt idx="11">
                  <c:v>餐饮业</c:v>
                </c:pt>
                <c:pt idx="12">
                  <c:v>文化艺术业</c:v>
                </c:pt>
                <c:pt idx="13">
                  <c:v>教育</c:v>
                </c:pt>
              </c:strCache>
            </c:strRef>
          </c:cat>
          <c:val>
            <c:numRef>
              <c:f>Sheet1!$B$2:$B$15</c:f>
              <c:numCache>
                <c:formatCode>0.00%</c:formatCode>
                <c:ptCount val="14"/>
                <c:pt idx="0">
                  <c:v>0.0263157894736842</c:v>
                </c:pt>
                <c:pt idx="1">
                  <c:v>0.0263157894736842</c:v>
                </c:pt>
                <c:pt idx="2">
                  <c:v>0.0263157894736842</c:v>
                </c:pt>
                <c:pt idx="3">
                  <c:v>0.0263157894736842</c:v>
                </c:pt>
                <c:pt idx="4">
                  <c:v>0.0263157894736842</c:v>
                </c:pt>
                <c:pt idx="5">
                  <c:v>0.0263157894736842</c:v>
                </c:pt>
                <c:pt idx="6">
                  <c:v>0.0263157894736842</c:v>
                </c:pt>
                <c:pt idx="7">
                  <c:v>0.0526315789473684</c:v>
                </c:pt>
                <c:pt idx="8">
                  <c:v>0.0526315789473684</c:v>
                </c:pt>
                <c:pt idx="9">
                  <c:v>0.0526315789473684</c:v>
                </c:pt>
                <c:pt idx="10">
                  <c:v>0.0526315789473684</c:v>
                </c:pt>
                <c:pt idx="11">
                  <c:v>0.0789473684210526</c:v>
                </c:pt>
                <c:pt idx="12">
                  <c:v>0.131578947368421</c:v>
                </c:pt>
                <c:pt idx="13">
                  <c:v>0.394736842105263</c:v>
                </c:pt>
              </c:numCache>
            </c:numRef>
          </c:val>
        </c:ser>
        <c:ser>
          <c:idx val="1"/>
          <c:order val="1"/>
          <c:tx>
            <c:strRef>
              <c:f>Sheet1!$C$1</c:f>
              <c:strCache>
                <c:ptCount val="1"/>
                <c:pt idx="0">
                  <c:v>列1</c:v>
                </c:pt>
              </c:strCache>
            </c:strRef>
          </c:tx>
          <c:spPr>
            <a:solidFill>
              <a:schemeClr val="accent2"/>
            </a:solidFill>
            <a:ln>
              <a:noFill/>
            </a:ln>
            <a:effectLst/>
          </c:spPr>
          <c:invertIfNegative val="0"/>
          <c:dLbls>
            <c:spPr>
              <a:noFill/>
              <a:ln>
                <a:noFill/>
              </a:ln>
              <a:effectLst/>
            </c:spPr>
            <c:txPr>
              <a:bodyPr rot="0" spcFirstLastPara="1" vertOverflow="overflow" horzOverflow="overflow" vert="horz" wrap="none" lIns="38100" tIns="19050" rIns="38100" bIns="19050" anchor="ctr" anchorCtr="0">
                <a:spAutoFit/>
              </a:bodyPr>
              <a:lstStyle/>
              <a:p>
                <a:pPr algn="l">
                  <a:defRPr lang="zh-CN" sz="1000" b="0" i="0" u="none" strike="noStrike" kern="1200" baseline="0">
                    <a:solidFill>
                      <a:sysClr val="windowText" lastClr="000000"/>
                    </a:solidFill>
                    <a:latin typeface="宋体" panose="02010600030101010101" charset="-122"/>
                    <a:ea typeface="宋体" panose="02010600030101010101" charset="-122"/>
                    <a:cs typeface="+mn-cs"/>
                  </a:defRPr>
                </a:pPr>
              </a:p>
            </c:txPr>
            <c:dLblPos val="inBase"/>
            <c:showLegendKey val="0"/>
            <c:showVal val="0"/>
            <c:showCatName val="1"/>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shade val="95000"/>
                          <a:satMod val="105000"/>
                        </a:schemeClr>
                      </a:solidFill>
                      <a:prstDash val="solid"/>
                      <a:round/>
                    </a:ln>
                    <a:effectLst/>
                  </c:spPr>
                </c15:leaderLines>
              </c:ext>
            </c:extLst>
          </c:dLbls>
          <c:cat>
            <c:strRef>
              <c:f>Sheet1!$A$2:$A$15</c:f>
              <c:strCache>
                <c:ptCount val="14"/>
                <c:pt idx="0">
                  <c:v>新闻和出版业</c:v>
                </c:pt>
                <c:pt idx="1">
                  <c:v>土木工程建筑业</c:v>
                </c:pt>
                <c:pt idx="2">
                  <c:v>商务服务业</c:v>
                </c:pt>
                <c:pt idx="3">
                  <c:v>体育</c:v>
                </c:pt>
                <c:pt idx="4">
                  <c:v>电信、广播电视和卫星传输服务</c:v>
                </c:pt>
                <c:pt idx="5">
                  <c:v>医药制造业</c:v>
                </c:pt>
                <c:pt idx="6">
                  <c:v>广播、电视、电影和影视录音制作业</c:v>
                </c:pt>
                <c:pt idx="7">
                  <c:v>互联网和相关服务</c:v>
                </c:pt>
                <c:pt idx="8">
                  <c:v>软件和信息技术服务业</c:v>
                </c:pt>
                <c:pt idx="9">
                  <c:v>零售业</c:v>
                </c:pt>
                <c:pt idx="10">
                  <c:v>纺织服装、服饰业</c:v>
                </c:pt>
                <c:pt idx="11">
                  <c:v>餐饮业</c:v>
                </c:pt>
                <c:pt idx="12">
                  <c:v>文化艺术业</c:v>
                </c:pt>
                <c:pt idx="13">
                  <c:v>教育</c:v>
                </c:pt>
              </c:strCache>
            </c:strRef>
          </c:cat>
          <c:val>
            <c:numRef>
              <c:f>Sheet1!$C$2:$C$15</c:f>
              <c:numCache>
                <c:formatCode>0.00%</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ser>
        <c:dLbls>
          <c:showLegendKey val="0"/>
          <c:showVal val="0"/>
          <c:showCatName val="0"/>
          <c:showSerName val="0"/>
          <c:showPercent val="0"/>
          <c:showBubbleSize val="0"/>
        </c:dLbls>
        <c:gapWidth val="30"/>
        <c:axId val="275368640"/>
        <c:axId val="275369200"/>
      </c:barChart>
      <c:catAx>
        <c:axId val="275368640"/>
        <c:scaling>
          <c:orientation val="minMax"/>
        </c:scaling>
        <c:delete val="0"/>
        <c:axPos val="l"/>
        <c:numFmt formatCode="General" sourceLinked="1"/>
        <c:majorTickMark val="none"/>
        <c:minorTickMark val="none"/>
        <c:tickLblPos val="none"/>
        <c:spPr>
          <a:noFill/>
          <a:ln w="19050" cap="flat" cmpd="sng" algn="ctr">
            <a:solidFill>
              <a:schemeClr val="accent1"/>
            </a:solidFill>
            <a:prstDash val="solid"/>
            <a:round/>
          </a:ln>
          <a:effectLst/>
        </c:spPr>
        <c:txPr>
          <a:bodyPr rot="-60000000" spcFirstLastPara="0" vertOverflow="ellipsis" vert="horz" wrap="square" anchor="ctr" anchorCtr="1"/>
          <a:lstStyle/>
          <a:p>
            <a:pPr>
              <a:defRPr lang="zh-CN" sz="900" b="0" i="0" u="none" strike="noStrike" kern="1200" baseline="0">
                <a:noFill/>
                <a:latin typeface="+mn-lt"/>
                <a:ea typeface="+mn-ea"/>
                <a:cs typeface="+mn-cs"/>
              </a:defRPr>
            </a:pPr>
          </a:p>
        </c:txPr>
        <c:crossAx val="275369200"/>
        <c:crosses val="autoZero"/>
        <c:auto val="1"/>
        <c:lblAlgn val="ctr"/>
        <c:lblOffset val="100"/>
        <c:tickLblSkip val="1"/>
        <c:noMultiLvlLbl val="0"/>
      </c:catAx>
      <c:valAx>
        <c:axId val="275369200"/>
        <c:scaling>
          <c:orientation val="minMax"/>
        </c:scaling>
        <c:delete val="1"/>
        <c:axPos val="b"/>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75368640"/>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sz="1000"/>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89182001967268"/>
          <c:y val="0.062199604184337"/>
          <c:w val="0.852796999324296"/>
          <c:h val="0.802582819641183"/>
        </c:manualLayout>
      </c:layout>
      <c:lineChart>
        <c:grouping val="standard"/>
        <c:varyColors val="0"/>
        <c:ser>
          <c:idx val="0"/>
          <c:order val="0"/>
          <c:tx>
            <c:strRef>
              <c:f>Sheet1!$B$1</c:f>
              <c:strCache>
                <c:ptCount val="1"/>
                <c:pt idx="0">
                  <c:v>比例</c:v>
                </c:pt>
              </c:strCache>
            </c:strRef>
          </c:tx>
          <c:spPr>
            <a:ln w="28575" cap="rnd">
              <a:solidFill>
                <a:schemeClr val="accent1"/>
              </a:solidFill>
              <a:round/>
            </a:ln>
            <a:effectLst/>
          </c:spPr>
          <c:marker>
            <c:symbol val="diamond"/>
            <c:size val="5"/>
            <c:spPr>
              <a:solidFill>
                <a:schemeClr val="bg1"/>
              </a:solidFill>
              <a:ln w="9525">
                <a:solidFill>
                  <a:schemeClr val="accent1"/>
                </a:solidFill>
              </a:ln>
              <a:effectLst/>
            </c:spPr>
          </c:marker>
          <c:dPt>
            <c:idx val="4"/>
            <c:marker>
              <c:symbol val="diamond"/>
              <c:size val="5"/>
              <c:spPr>
                <a:solidFill>
                  <a:schemeClr val="bg1"/>
                </a:solidFill>
                <a:ln w="9525">
                  <a:solidFill>
                    <a:schemeClr val="accent1"/>
                  </a:solidFill>
                </a:ln>
                <a:effectLst/>
              </c:spPr>
            </c:marker>
            <c:bubble3D val="0"/>
            <c:spPr>
              <a:ln w="28575" cap="rnd">
                <a:solidFill>
                  <a:schemeClr val="accent1"/>
                </a:solidFill>
                <a:round/>
              </a:ln>
              <a:effectLst/>
            </c:spPr>
          </c:dPt>
          <c:dLbls>
            <c:dLbl>
              <c:idx val="0"/>
              <c:layout>
                <c:manualLayout>
                  <c:x val="-0.0569805892907455"/>
                  <c:y val="-0.084658577513876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601946508098917"/>
                  <c:y val="-0.084658577513876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244198288773235"/>
                  <c:y val="-0.0081558452734391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401067663152276"/>
                  <c:y val="-0.068265134890925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105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Sheet1!$A$2:$A$7</c:f>
              <c:strCache>
                <c:ptCount val="6"/>
                <c:pt idx="0">
                  <c:v>2000元及以下</c:v>
                </c:pt>
                <c:pt idx="1">
                  <c:v>2001-3500元</c:v>
                </c:pt>
                <c:pt idx="2">
                  <c:v>3501-5000元</c:v>
                </c:pt>
                <c:pt idx="3">
                  <c:v>5001-6500元</c:v>
                </c:pt>
                <c:pt idx="4">
                  <c:v>6501-8000元</c:v>
                </c:pt>
                <c:pt idx="5">
                  <c:v>8001元及以上</c:v>
                </c:pt>
              </c:strCache>
            </c:strRef>
          </c:cat>
          <c:val>
            <c:numRef>
              <c:f>Sheet1!$B$2:$B$7</c:f>
              <c:numCache>
                <c:formatCode>0.00%</c:formatCode>
                <c:ptCount val="6"/>
                <c:pt idx="0">
                  <c:v>0.0483</c:v>
                </c:pt>
                <c:pt idx="1">
                  <c:v>0.2855</c:v>
                </c:pt>
                <c:pt idx="2">
                  <c:v>0.4679</c:v>
                </c:pt>
                <c:pt idx="3">
                  <c:v>0.1218</c:v>
                </c:pt>
                <c:pt idx="4">
                  <c:v>0.0562</c:v>
                </c:pt>
                <c:pt idx="5">
                  <c:v>0.0202</c:v>
                </c:pt>
              </c:numCache>
            </c:numRef>
          </c:val>
          <c:smooth val="1"/>
        </c:ser>
        <c:dLbls>
          <c:showLegendKey val="0"/>
          <c:showVal val="1"/>
          <c:showCatName val="0"/>
          <c:showSerName val="0"/>
          <c:showPercent val="0"/>
          <c:showBubbleSize val="0"/>
        </c:dLbls>
        <c:marker val="1"/>
        <c:smooth val="1"/>
        <c:axId val="275372000"/>
        <c:axId val="275372560"/>
      </c:lineChart>
      <c:catAx>
        <c:axId val="275372000"/>
        <c:scaling>
          <c:orientation val="minMax"/>
        </c:scaling>
        <c:delete val="0"/>
        <c:axPos val="b"/>
        <c:numFmt formatCode="General" sourceLinked="1"/>
        <c:majorTickMark val="in"/>
        <c:minorTickMark val="none"/>
        <c:tickLblPos val="nextTo"/>
        <c:spPr>
          <a:noFill/>
          <a:ln w="19050" cap="flat" cmpd="sng" algn="ctr">
            <a:solidFill>
              <a:schemeClr val="accent1"/>
            </a:solidFill>
            <a:round/>
          </a:ln>
          <a:effectLst/>
        </c:spPr>
        <c:txPr>
          <a:bodyPr rot="-60000000" spcFirstLastPara="1" vertOverflow="ellipsis" vert="horz" wrap="square" anchor="ctr" anchorCtr="1"/>
          <a:lstStyle/>
          <a:p>
            <a:pPr>
              <a:defRPr lang="zh-CN" sz="1050" b="0" i="0" u="none" strike="noStrike" kern="1200" baseline="0">
                <a:solidFill>
                  <a:sysClr val="windowText" lastClr="000000"/>
                </a:solidFill>
                <a:latin typeface="Times New Roman" panose="02020603050405020304" charset="0"/>
                <a:ea typeface="+mn-ea"/>
                <a:cs typeface="Times New Roman" panose="02020603050405020304" charset="0"/>
              </a:defRPr>
            </a:pPr>
          </a:p>
        </c:txPr>
        <c:crossAx val="275372560"/>
        <c:crosses val="autoZero"/>
        <c:auto val="1"/>
        <c:lblAlgn val="ctr"/>
        <c:lblOffset val="100"/>
        <c:noMultiLvlLbl val="0"/>
      </c:catAx>
      <c:valAx>
        <c:axId val="275372560"/>
        <c:scaling>
          <c:orientation val="minMax"/>
          <c:max val="0.6"/>
        </c:scaling>
        <c:delete val="0"/>
        <c:axPos val="l"/>
        <c:numFmt formatCode="0.00%" sourceLinked="1"/>
        <c:majorTickMark val="in"/>
        <c:minorTickMark val="none"/>
        <c:tickLblPos val="nextTo"/>
        <c:spPr>
          <a:noFill/>
          <a:ln w="19050">
            <a:solidFill>
              <a:schemeClr val="accent1"/>
            </a:solidFill>
          </a:ln>
          <a:effectLst/>
        </c:spPr>
        <c:txPr>
          <a:bodyPr rot="-60000000" spcFirstLastPara="1" vertOverflow="ellipsis" vert="horz" wrap="square" anchor="ctr" anchorCtr="1"/>
          <a:lstStyle/>
          <a:p>
            <a:pPr>
              <a:defRPr lang="zh-CN" sz="1050" b="0" i="0" u="none" strike="noStrike" kern="1200" baseline="0">
                <a:solidFill>
                  <a:sysClr val="windowText" lastClr="000000"/>
                </a:solidFill>
                <a:latin typeface="Times New Roman" panose="02020603050405020304" charset="0"/>
                <a:ea typeface="+mn-ea"/>
                <a:cs typeface="Times New Roman" panose="02020603050405020304" charset="0"/>
              </a:defRPr>
            </a:pPr>
          </a:p>
        </c:txPr>
        <c:crossAx val="2753720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solidFill>
            <a:sysClr val="windowText" lastClr="000000"/>
          </a:solidFill>
        </a:defRPr>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63578709638039"/>
          <c:y val="0"/>
          <c:w val="0.83642129036196"/>
          <c:h val="1"/>
        </c:manualLayout>
      </c:layout>
      <c:barChart>
        <c:barDir val="bar"/>
        <c:grouping val="clustered"/>
        <c:varyColors val="0"/>
        <c:ser>
          <c:idx val="0"/>
          <c:order val="0"/>
          <c:tx>
            <c:strRef>
              <c:f>Sheet1!$B$1</c:f>
              <c:strCache>
                <c:ptCount val="1"/>
                <c:pt idx="0">
                  <c:v>列1</c:v>
                </c:pt>
              </c:strCache>
            </c:strRef>
          </c:tx>
          <c:spPr>
            <a:solidFill>
              <a:schemeClr val="accent1"/>
            </a:solidFill>
            <a:ln>
              <a:noFill/>
            </a:ln>
            <a:effectLst/>
            <a:scene3d>
              <a:camera prst="orthographicFront"/>
              <a:lightRig rig="threePt" dir="t"/>
            </a:scene3d>
          </c:spPr>
          <c:invertIfNegative val="0"/>
          <c:dPt>
            <c:idx val="0"/>
            <c:invertIfNegative val="0"/>
            <c:bubble3D val="0"/>
            <c:spPr>
              <a:solidFill>
                <a:schemeClr val="accent1"/>
              </a:solidFill>
              <a:ln>
                <a:noFill/>
              </a:ln>
              <a:effectLst/>
              <a:scene3d>
                <a:camera prst="orthographicFront"/>
                <a:lightRig rig="threePt" dir="t"/>
              </a:scene3d>
            </c:spPr>
          </c:dPt>
          <c:dPt>
            <c:idx val="1"/>
            <c:invertIfNegative val="0"/>
            <c:bubble3D val="0"/>
            <c:spPr>
              <a:solidFill>
                <a:schemeClr val="accent1"/>
              </a:solidFill>
              <a:ln>
                <a:noFill/>
              </a:ln>
              <a:effectLst/>
              <a:scene3d>
                <a:camera prst="orthographicFront"/>
                <a:lightRig rig="threePt" dir="t"/>
              </a:scene3d>
            </c:spPr>
          </c:dPt>
          <c:dPt>
            <c:idx val="2"/>
            <c:invertIfNegative val="0"/>
            <c:bubble3D val="0"/>
            <c:spPr>
              <a:solidFill>
                <a:schemeClr val="accent1"/>
              </a:solidFill>
              <a:ln>
                <a:noFill/>
              </a:ln>
              <a:effectLst/>
              <a:scene3d>
                <a:camera prst="orthographicFront"/>
                <a:lightRig rig="threePt" dir="t"/>
              </a:scene3d>
            </c:spPr>
          </c:dPt>
          <c:dPt>
            <c:idx val="3"/>
            <c:invertIfNegative val="0"/>
            <c:bubble3D val="0"/>
            <c:spPr>
              <a:solidFill>
                <a:schemeClr val="accent1"/>
              </a:solidFill>
              <a:ln>
                <a:noFill/>
              </a:ln>
              <a:effectLst/>
              <a:scene3d>
                <a:camera prst="orthographicFront"/>
                <a:lightRig rig="threePt" dir="t"/>
              </a:scene3d>
            </c:spPr>
          </c:dPt>
          <c:dLbls>
            <c:spPr>
              <a:noFill/>
              <a:ln>
                <a:noFill/>
              </a:ln>
              <a:effectLst/>
            </c:spPr>
            <c:txPr>
              <a:bodyPr rot="0" spcFirstLastPara="1" vertOverflow="ellipsis" vert="horz" wrap="square" lIns="38100" tIns="19050" rIns="38100" bIns="19050" anchor="ctr" anchorCtr="1">
                <a:spAutoFit/>
              </a:bodyPr>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6350" cap="flat" cmpd="sng" algn="ctr">
                      <a:solidFill>
                        <a:schemeClr val="tx1"/>
                      </a:solidFill>
                      <a:prstDash val="solid"/>
                      <a:round/>
                    </a:ln>
                    <a:effectLst/>
                  </c:spPr>
                </c15:leaderLines>
              </c:ext>
            </c:extLst>
          </c:dLbls>
          <c:cat>
            <c:strRef>
              <c:f>Sheet1!$A$2:$A$5</c:f>
              <c:strCache>
                <c:ptCount val="4"/>
                <c:pt idx="0">
                  <c:v>安徽省</c:v>
                </c:pt>
                <c:pt idx="1">
                  <c:v>江苏省</c:v>
                </c:pt>
                <c:pt idx="2">
                  <c:v>浙江省</c:v>
                </c:pt>
                <c:pt idx="3">
                  <c:v>上海市</c:v>
                </c:pt>
              </c:strCache>
            </c:strRef>
          </c:cat>
          <c:val>
            <c:numRef>
              <c:f>Sheet1!$B$2:$B$5</c:f>
              <c:numCache>
                <c:formatCode>0.00</c:formatCode>
                <c:ptCount val="4"/>
                <c:pt idx="0">
                  <c:v>3983.7674970344</c:v>
                </c:pt>
                <c:pt idx="1">
                  <c:v>4557.94258373206</c:v>
                </c:pt>
                <c:pt idx="2">
                  <c:v>4625.26315789474</c:v>
                </c:pt>
                <c:pt idx="3">
                  <c:v>5769.10179640719</c:v>
                </c:pt>
              </c:numCache>
            </c:numRef>
          </c:val>
        </c:ser>
        <c:dLbls>
          <c:showLegendKey val="0"/>
          <c:showVal val="1"/>
          <c:showCatName val="0"/>
          <c:showSerName val="0"/>
          <c:showPercent val="0"/>
          <c:showBubbleSize val="0"/>
        </c:dLbls>
        <c:gapWidth val="100"/>
        <c:axId val="276465904"/>
        <c:axId val="276466464"/>
      </c:barChart>
      <c:catAx>
        <c:axId val="276465904"/>
        <c:scaling>
          <c:orientation val="minMax"/>
        </c:scaling>
        <c:delete val="0"/>
        <c:axPos val="l"/>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1050" b="0" i="0" u="none" strike="noStrike" kern="1200" baseline="0">
                <a:solidFill>
                  <a:schemeClr val="tx1"/>
                </a:solidFill>
                <a:latin typeface="+mn-ea"/>
                <a:ea typeface="+mn-ea"/>
                <a:cs typeface="+mn-cs"/>
              </a:defRPr>
            </a:pPr>
          </a:p>
        </c:txPr>
        <c:crossAx val="276466464"/>
        <c:crosses val="autoZero"/>
        <c:auto val="1"/>
        <c:lblAlgn val="ctr"/>
        <c:lblOffset val="100"/>
        <c:noMultiLvlLbl val="0"/>
      </c:catAx>
      <c:valAx>
        <c:axId val="276466464"/>
        <c:scaling>
          <c:orientation val="minMax"/>
        </c:scaling>
        <c:delete val="1"/>
        <c:axPos val="b"/>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76465904"/>
        <c:crosses val="autoZero"/>
        <c:crossBetween val="between"/>
      </c:valAx>
      <c:spPr>
        <a:noFill/>
        <a:ln w="25400">
          <a:noFill/>
        </a:ln>
        <a:effectLst/>
      </c:spPr>
    </c:plotArea>
    <c:plotVisOnly val="1"/>
    <c:dispBlanksAs val="gap"/>
    <c:showDLblsOverMax val="0"/>
  </c:chart>
  <c:spPr>
    <a:solidFill>
      <a:schemeClr val="bg1"/>
    </a:solidFill>
    <a:ln w="9525" cap="flat" cmpd="sng" algn="ctr">
      <a:noFill/>
      <a:prstDash val="solid"/>
      <a:round/>
    </a:ln>
    <a:effectLst>
      <a:softEdge rad="635000"/>
    </a:effectLst>
  </c:spPr>
  <c:txPr>
    <a:bodyPr rot="0" spcFirstLastPara="0" vertOverflow="ellipsis" horzOverflow="overflow" vert="horz" wrap="square" anchor="ctr" anchorCtr="1"/>
    <a:lstStyle/>
    <a:p>
      <a:pPr>
        <a:defRPr lang="zh-CN">
          <a:solidFill>
            <a:schemeClr val="tx1"/>
          </a:solidFill>
        </a:defRPr>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236202570658979"/>
          <c:y val="0.0202331685283526"/>
          <c:w val="0.754422063115777"/>
          <c:h val="0.95761843723023"/>
        </c:manualLayout>
      </c:layout>
      <c:barChart>
        <c:barDir val="bar"/>
        <c:grouping val="clustered"/>
        <c:varyColors val="0"/>
        <c:ser>
          <c:idx val="0"/>
          <c:order val="0"/>
          <c:tx>
            <c:strRef>
              <c:f>Sheet1!$B$1</c:f>
              <c:strCache>
                <c:ptCount val="1"/>
                <c:pt idx="0">
                  <c:v>列1</c:v>
                </c:pt>
              </c:strCache>
            </c:strRef>
          </c:tx>
          <c:spPr>
            <a:solidFill>
              <a:schemeClr val="accent1"/>
            </a:solidFill>
            <a:ln w="19050">
              <a:solidFill>
                <a:schemeClr val="accent1"/>
              </a:solidFill>
            </a:ln>
            <a:effectLst/>
            <a:scene3d>
              <a:camera prst="orthographicFront"/>
              <a:lightRig rig="threePt" dir="t"/>
            </a:scene3d>
          </c:spPr>
          <c:invertIfNegative val="0"/>
          <c:dPt>
            <c:idx val="0"/>
            <c:invertIfNegative val="0"/>
            <c:bubble3D val="0"/>
            <c:spPr>
              <a:solidFill>
                <a:schemeClr val="accent1"/>
              </a:solidFill>
              <a:ln w="19050">
                <a:solidFill>
                  <a:schemeClr val="accent1"/>
                </a:solidFill>
              </a:ln>
              <a:effectLst/>
              <a:scene3d>
                <a:camera prst="orthographicFront"/>
                <a:lightRig rig="threePt" dir="t"/>
              </a:scene3d>
            </c:spPr>
          </c:dPt>
          <c:dPt>
            <c:idx val="1"/>
            <c:invertIfNegative val="0"/>
            <c:bubble3D val="0"/>
            <c:spPr>
              <a:solidFill>
                <a:schemeClr val="accent1"/>
              </a:solidFill>
              <a:ln w="19050">
                <a:solidFill>
                  <a:schemeClr val="accent1"/>
                </a:solidFill>
              </a:ln>
              <a:effectLst/>
              <a:scene3d>
                <a:camera prst="orthographicFront"/>
                <a:lightRig rig="threePt" dir="t"/>
              </a:scene3d>
            </c:spPr>
          </c:dPt>
          <c:dPt>
            <c:idx val="2"/>
            <c:invertIfNegative val="0"/>
            <c:bubble3D val="0"/>
            <c:spPr>
              <a:solidFill>
                <a:schemeClr val="accent1"/>
              </a:solidFill>
              <a:ln w="19050">
                <a:solidFill>
                  <a:schemeClr val="accent1"/>
                </a:solidFill>
              </a:ln>
              <a:effectLst/>
              <a:scene3d>
                <a:camera prst="orthographicFront"/>
                <a:lightRig rig="threePt" dir="t"/>
              </a:scene3d>
            </c:spPr>
          </c:dPt>
          <c:dPt>
            <c:idx val="3"/>
            <c:invertIfNegative val="0"/>
            <c:bubble3D val="0"/>
            <c:spPr>
              <a:solidFill>
                <a:schemeClr val="accent1"/>
              </a:solidFill>
              <a:ln w="19050">
                <a:solidFill>
                  <a:schemeClr val="accent1"/>
                </a:solidFill>
              </a:ln>
              <a:effectLst/>
              <a:scene3d>
                <a:camera prst="orthographicFront"/>
                <a:lightRig rig="threePt" dir="t"/>
              </a:scene3d>
            </c:spPr>
          </c:dPt>
          <c:dLbls>
            <c:spPr>
              <a:noFill/>
              <a:ln>
                <a:noFill/>
              </a:ln>
              <a:effectLst/>
            </c:spPr>
            <c:txPr>
              <a:bodyPr rot="0" spcFirstLastPara="1" vertOverflow="ellipsis" vert="horz" wrap="square" lIns="38100" tIns="19050" rIns="38100" bIns="19050" anchor="ctr" anchorCtr="1">
                <a:spAutoFit/>
              </a:bodyPr>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6350" cap="flat" cmpd="sng" algn="ctr">
                      <a:solidFill>
                        <a:schemeClr val="tx1"/>
                      </a:solidFill>
                      <a:prstDash val="solid"/>
                      <a:round/>
                    </a:ln>
                    <a:effectLst/>
                  </c:spPr>
                </c15:leaderLines>
              </c:ext>
            </c:extLst>
          </c:dLbls>
          <c:cat>
            <c:strRef>
              <c:f>Sheet1!$A$2:$A$9</c:f>
              <c:strCache>
                <c:ptCount val="8"/>
                <c:pt idx="0">
                  <c:v>中初教育单位</c:v>
                </c:pt>
                <c:pt idx="1">
                  <c:v>党政机关</c:v>
                </c:pt>
                <c:pt idx="2">
                  <c:v>其他</c:v>
                </c:pt>
                <c:pt idx="3">
                  <c:v>其他事业单位</c:v>
                </c:pt>
                <c:pt idx="4">
                  <c:v>民营企业/个体</c:v>
                </c:pt>
                <c:pt idx="5">
                  <c:v>国有企业</c:v>
                </c:pt>
                <c:pt idx="6">
                  <c:v>三资企业 </c:v>
                </c:pt>
                <c:pt idx="7">
                  <c:v>科研设计单位</c:v>
                </c:pt>
              </c:strCache>
            </c:strRef>
          </c:cat>
          <c:val>
            <c:numRef>
              <c:f>Sheet1!$B$2:$B$9</c:f>
              <c:numCache>
                <c:formatCode>0.00_);[Red]\(0.00\)</c:formatCode>
                <c:ptCount val="8"/>
                <c:pt idx="0">
                  <c:v>3852.44755244755</c:v>
                </c:pt>
                <c:pt idx="1">
                  <c:v>4009.09090909091</c:v>
                </c:pt>
                <c:pt idx="2">
                  <c:v>4156.79333333333</c:v>
                </c:pt>
                <c:pt idx="3">
                  <c:v>4308.62068965517</c:v>
                </c:pt>
                <c:pt idx="4">
                  <c:v>4404.00899280576</c:v>
                </c:pt>
                <c:pt idx="5">
                  <c:v>4591.13636363636</c:v>
                </c:pt>
                <c:pt idx="6">
                  <c:v>4890.66666666667</c:v>
                </c:pt>
                <c:pt idx="7">
                  <c:v>4915.58441558442</c:v>
                </c:pt>
              </c:numCache>
            </c:numRef>
          </c:val>
        </c:ser>
        <c:dLbls>
          <c:showLegendKey val="0"/>
          <c:showVal val="1"/>
          <c:showCatName val="0"/>
          <c:showSerName val="0"/>
          <c:showPercent val="0"/>
          <c:showBubbleSize val="0"/>
        </c:dLbls>
        <c:gapWidth val="100"/>
        <c:axId val="276468704"/>
        <c:axId val="276469264"/>
      </c:barChart>
      <c:catAx>
        <c:axId val="276468704"/>
        <c:scaling>
          <c:orientation val="minMax"/>
        </c:scaling>
        <c:delete val="0"/>
        <c:axPos val="l"/>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1050" b="0" i="0" u="none" strike="noStrike" kern="1200" baseline="0">
                <a:solidFill>
                  <a:schemeClr val="tx1"/>
                </a:solidFill>
                <a:latin typeface="宋体" panose="02010600030101010101" charset="-122"/>
                <a:ea typeface="宋体" panose="02010600030101010101" charset="-122"/>
                <a:cs typeface="+mn-cs"/>
              </a:defRPr>
            </a:pPr>
          </a:p>
        </c:txPr>
        <c:crossAx val="276469264"/>
        <c:crosses val="autoZero"/>
        <c:auto val="1"/>
        <c:lblAlgn val="ctr"/>
        <c:lblOffset val="100"/>
        <c:noMultiLvlLbl val="0"/>
      </c:catAx>
      <c:valAx>
        <c:axId val="276469264"/>
        <c:scaling>
          <c:orientation val="minMax"/>
          <c:max val="6500"/>
          <c:min val="0"/>
        </c:scaling>
        <c:delete val="1"/>
        <c:axPos val="b"/>
        <c:numFmt formatCode="#,##0.00_);[Red]\(#,##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76468704"/>
        <c:crosses val="autoZero"/>
        <c:crossBetween val="between"/>
        <c:majorUnit val="1000"/>
        <c:minorUnit val="200"/>
      </c:valAx>
      <c:spPr>
        <a:noFill/>
        <a:ln w="25400">
          <a:noFill/>
        </a:ln>
        <a:effectLst/>
      </c:spPr>
    </c:plotArea>
    <c:plotVisOnly val="1"/>
    <c:dispBlanksAs val="gap"/>
    <c:showDLblsOverMax val="0"/>
  </c:chart>
  <c:spPr>
    <a:solidFill>
      <a:schemeClr val="bg1"/>
    </a:solidFill>
    <a:ln w="9525" cap="flat" cmpd="sng" algn="ctr">
      <a:noFill/>
      <a:prstDash val="solid"/>
      <a:round/>
    </a:ln>
    <a:effectLst>
      <a:softEdge rad="635000"/>
    </a:effectLst>
  </c:spPr>
  <c:txPr>
    <a:bodyPr rot="0" spcFirstLastPara="0" vertOverflow="ellipsis" horzOverflow="overflow" vert="horz" wrap="square" anchor="ctr" anchorCtr="1"/>
    <a:lstStyle/>
    <a:p>
      <a:pPr>
        <a:defRPr lang="zh-CN">
          <a:solidFill>
            <a:schemeClr val="tx1"/>
          </a:solidFill>
        </a:defRPr>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5004162495682"/>
          <c:y val="0.0139394668963126"/>
          <c:w val="0.864052057587827"/>
          <c:h val="0.975259560606669"/>
        </c:manualLayout>
      </c:layout>
      <c:barChart>
        <c:barDir val="bar"/>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0"/>
              <a:lstStyle/>
              <a:p>
                <a:pPr algn="l">
                  <a:defRPr lang="zh-CN" sz="105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6350" cap="flat" cmpd="sng" algn="ctr">
                      <a:solidFill>
                        <a:schemeClr val="tx1"/>
                      </a:solidFill>
                      <a:prstDash val="solid"/>
                      <a:round/>
                    </a:ln>
                    <a:effectLst/>
                  </c:spPr>
                </c15:leaderLines>
              </c:ext>
            </c:extLst>
          </c:dLbls>
          <c:cat>
            <c:strRef>
              <c:f>Sheet1!$A$2:$A$14</c:f>
              <c:strCache>
                <c:ptCount val="13"/>
                <c:pt idx="0">
                  <c:v>商务服务业</c:v>
                </c:pt>
                <c:pt idx="1">
                  <c:v>教育</c:v>
                </c:pt>
                <c:pt idx="2">
                  <c:v>货币金融服务</c:v>
                </c:pt>
                <c:pt idx="3">
                  <c:v>电力、热力生产和供应业</c:v>
                </c:pt>
                <c:pt idx="4">
                  <c:v>医药制造业</c:v>
                </c:pt>
                <c:pt idx="5">
                  <c:v>卫生</c:v>
                </c:pt>
                <c:pt idx="6">
                  <c:v>专业技术服务业</c:v>
                </c:pt>
                <c:pt idx="7">
                  <c:v>零售业</c:v>
                </c:pt>
                <c:pt idx="8">
                  <c:v>建筑装饰和其他建筑业</c:v>
                </c:pt>
                <c:pt idx="9">
                  <c:v>土木工程建筑业</c:v>
                </c:pt>
                <c:pt idx="10">
                  <c:v>其他金融业</c:v>
                </c:pt>
                <c:pt idx="11">
                  <c:v>研究和试验发展</c:v>
                </c:pt>
                <c:pt idx="12">
                  <c:v>房地产业</c:v>
                </c:pt>
              </c:strCache>
            </c:strRef>
          </c:cat>
          <c:val>
            <c:numRef>
              <c:f>Sheet1!$B$2:$B$14</c:f>
              <c:numCache>
                <c:formatCode>0.00_);[Red]\(0.00\)</c:formatCode>
                <c:ptCount val="13"/>
                <c:pt idx="0">
                  <c:v>3703.40625</c:v>
                </c:pt>
                <c:pt idx="1">
                  <c:v>3886.07142857143</c:v>
                </c:pt>
                <c:pt idx="2">
                  <c:v>4221.89189189189</c:v>
                </c:pt>
                <c:pt idx="3">
                  <c:v>4236.36363636364</c:v>
                </c:pt>
                <c:pt idx="4">
                  <c:v>4253.57142857143</c:v>
                </c:pt>
                <c:pt idx="5">
                  <c:v>4267</c:v>
                </c:pt>
                <c:pt idx="6">
                  <c:v>4529.78723404255</c:v>
                </c:pt>
                <c:pt idx="7">
                  <c:v>4563.88888888889</c:v>
                </c:pt>
                <c:pt idx="8">
                  <c:v>4615</c:v>
                </c:pt>
                <c:pt idx="9">
                  <c:v>4711.49425287356</c:v>
                </c:pt>
                <c:pt idx="10">
                  <c:v>4721.85185185185</c:v>
                </c:pt>
                <c:pt idx="11">
                  <c:v>4740</c:v>
                </c:pt>
                <c:pt idx="12">
                  <c:v>4769.23076923077</c:v>
                </c:pt>
              </c:numCache>
            </c:numRef>
          </c:val>
        </c:ser>
        <c:ser>
          <c:idx val="1"/>
          <c:order val="1"/>
          <c:tx>
            <c:strRef>
              <c:f>Sheet1!$C$1</c:f>
              <c:strCache>
                <c:ptCount val="1"/>
                <c:pt idx="0">
                  <c:v>列1</c:v>
                </c:pt>
              </c:strCache>
            </c:strRef>
          </c:tx>
          <c:spPr>
            <a:solidFill>
              <a:schemeClr val="accent2"/>
            </a:solidFill>
            <a:ln>
              <a:noFill/>
            </a:ln>
            <a:effectLst/>
          </c:spPr>
          <c:invertIfNegative val="0"/>
          <c:dLbls>
            <c:spPr>
              <a:noFill/>
              <a:ln>
                <a:noFill/>
              </a:ln>
              <a:effectLst/>
            </c:spPr>
            <c:txPr>
              <a:bodyPr rot="0" spcFirstLastPara="1" vertOverflow="overflow" horzOverflow="overflow" vert="horz" wrap="none" lIns="38100" tIns="19050" rIns="38100" bIns="19050" anchor="ctr" anchorCtr="0">
                <a:spAutoFit/>
              </a:bodyPr>
              <a:lstStyle/>
              <a:p>
                <a:pPr algn="l">
                  <a:defRPr lang="zh-CN" sz="1050" b="0" i="0" u="none" strike="noStrike" kern="1200" baseline="0">
                    <a:solidFill>
                      <a:sysClr val="windowText" lastClr="000000"/>
                    </a:solidFill>
                    <a:latin typeface="宋体" panose="02010600030101010101" charset="-122"/>
                    <a:ea typeface="宋体" panose="02010600030101010101" charset="-122"/>
                    <a:cs typeface="+mn-cs"/>
                  </a:defRPr>
                </a:pPr>
              </a:p>
            </c:txPr>
            <c:dLblPos val="inBase"/>
            <c:showLegendKey val="0"/>
            <c:showVal val="0"/>
            <c:showCatName val="1"/>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shade val="95000"/>
                          <a:satMod val="105000"/>
                        </a:schemeClr>
                      </a:solidFill>
                      <a:prstDash val="solid"/>
                      <a:round/>
                    </a:ln>
                    <a:effectLst/>
                  </c:spPr>
                </c15:leaderLines>
              </c:ext>
            </c:extLst>
          </c:dLbls>
          <c:cat>
            <c:strRef>
              <c:f>Sheet1!$A$2:$A$14</c:f>
              <c:strCache>
                <c:ptCount val="13"/>
                <c:pt idx="0">
                  <c:v>商务服务业</c:v>
                </c:pt>
                <c:pt idx="1">
                  <c:v>教育</c:v>
                </c:pt>
                <c:pt idx="2">
                  <c:v>货币金融服务</c:v>
                </c:pt>
                <c:pt idx="3">
                  <c:v>电力、热力生产和供应业</c:v>
                </c:pt>
                <c:pt idx="4">
                  <c:v>医药制造业</c:v>
                </c:pt>
                <c:pt idx="5">
                  <c:v>卫生</c:v>
                </c:pt>
                <c:pt idx="6">
                  <c:v>专业技术服务业</c:v>
                </c:pt>
                <c:pt idx="7">
                  <c:v>零售业</c:v>
                </c:pt>
                <c:pt idx="8">
                  <c:v>建筑装饰和其他建筑业</c:v>
                </c:pt>
                <c:pt idx="9">
                  <c:v>土木工程建筑业</c:v>
                </c:pt>
                <c:pt idx="10">
                  <c:v>其他金融业</c:v>
                </c:pt>
                <c:pt idx="11">
                  <c:v>研究和试验发展</c:v>
                </c:pt>
                <c:pt idx="12">
                  <c:v>房地产业</c:v>
                </c:pt>
              </c:strCache>
            </c:strRef>
          </c:cat>
          <c:val>
            <c:numRef>
              <c:f>Sheet1!$C$2:$C$14</c:f>
              <c:numCache>
                <c:formatCode>0.00%</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ser>
        <c:dLbls>
          <c:showLegendKey val="0"/>
          <c:showVal val="0"/>
          <c:showCatName val="0"/>
          <c:showSerName val="0"/>
          <c:showPercent val="0"/>
          <c:showBubbleSize val="0"/>
        </c:dLbls>
        <c:gapWidth val="30"/>
        <c:axId val="276472064"/>
        <c:axId val="276472624"/>
      </c:barChart>
      <c:catAx>
        <c:axId val="276472064"/>
        <c:scaling>
          <c:orientation val="minMax"/>
        </c:scaling>
        <c:delete val="0"/>
        <c:axPos val="l"/>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0" vertOverflow="ellipsis" vert="horz" wrap="square" anchor="ctr" anchorCtr="1"/>
          <a:lstStyle/>
          <a:p>
            <a:pPr>
              <a:defRPr lang="zh-CN" sz="900" b="0" i="0" u="none" strike="noStrike" kern="1200" baseline="0">
                <a:noFill/>
                <a:latin typeface="+mn-lt"/>
                <a:ea typeface="+mn-ea"/>
                <a:cs typeface="+mn-cs"/>
              </a:defRPr>
            </a:pPr>
          </a:p>
        </c:txPr>
        <c:crossAx val="276472624"/>
        <c:crosses val="autoZero"/>
        <c:auto val="1"/>
        <c:lblAlgn val="ctr"/>
        <c:lblOffset val="100"/>
        <c:tickLblSkip val="1"/>
        <c:noMultiLvlLbl val="0"/>
      </c:catAx>
      <c:valAx>
        <c:axId val="276472624"/>
        <c:scaling>
          <c:orientation val="minMax"/>
        </c:scaling>
        <c:delete val="1"/>
        <c:axPos val="b"/>
        <c:numFmt formatCode="0.00_);[Red]\(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76472064"/>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sz="1000"/>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486284033772887"/>
          <c:y val="0.000980813227223602"/>
          <c:w val="0.918863105967176"/>
          <c:h val="0.859043542634094"/>
        </c:manualLayout>
      </c:layout>
      <c:barChart>
        <c:barDir val="col"/>
        <c:grouping val="clustered"/>
        <c:varyColors val="0"/>
        <c:ser>
          <c:idx val="0"/>
          <c:order val="0"/>
          <c:tx>
            <c:strRef>
              <c:f>Sheet1!$B$1</c:f>
              <c:strCache>
                <c:ptCount val="1"/>
                <c:pt idx="0">
                  <c:v>总体</c:v>
                </c:pt>
              </c:strCache>
            </c:strRef>
          </c:tx>
          <c:spPr>
            <a:blipFill dpi="0" rotWithShape="1">
              <a:blip xmlns:r="http://schemas.openxmlformats.org/officeDocument/2006/relationships" r:embed="rId2">
                <a:extLst>
                  <a:ext uri="{28A0092B-C50C-407E-A947-70E740481C1C}">
                    <a14:useLocalDpi xmlns:a14="http://schemas.microsoft.com/office/drawing/2010/main" val="0"/>
                  </a:ext>
                </a:extLst>
              </a:blip>
              <a:srcRect/>
              <a:stretch>
                <a:fillRect/>
              </a:stretch>
            </a:blipFill>
            <a:ln>
              <a:noFill/>
            </a:ln>
            <a:effectLst/>
          </c:spPr>
          <c:invertIfNegative val="0"/>
          <c:dPt>
            <c:idx val="0"/>
            <c:invertIfNegative val="0"/>
            <c:bubble3D val="0"/>
            <c:spPr>
              <a:blipFill dpi="0" rotWithShape="1">
                <a:blip xmlns:r="http://schemas.openxmlformats.org/officeDocument/2006/relationships" r:embed="rId3"/>
                <a:srcRect/>
                <a:stretch>
                  <a:fillRect/>
                </a:stretch>
              </a:blipFill>
              <a:ln>
                <a:noFill/>
              </a:ln>
              <a:effectLst/>
            </c:spPr>
          </c:dPt>
          <c:dPt>
            <c:idx val="1"/>
            <c:invertIfNegative val="0"/>
            <c:bubble3D val="0"/>
            <c:spPr>
              <a:blipFill dpi="0" rotWithShape="1">
                <a:blip xmlns:r="http://schemas.openxmlformats.org/officeDocument/2006/relationships" r:embed="rId4"/>
                <a:srcRect/>
                <a:stretch>
                  <a:fillRect/>
                </a:stretch>
              </a:blipFill>
              <a:ln>
                <a:noFill/>
              </a:ln>
              <a:effectLst/>
            </c:spPr>
          </c:dPt>
          <c:dPt>
            <c:idx val="2"/>
            <c:invertIfNegative val="0"/>
            <c:bubble3D val="0"/>
            <c:spPr>
              <a:blipFill dpi="0" rotWithShape="1">
                <a:blip xmlns:r="http://schemas.openxmlformats.org/officeDocument/2006/relationships" r:embed="rId5"/>
                <a:srcRect/>
                <a:stretch>
                  <a:fillRect/>
                </a:stretch>
              </a:blipFill>
              <a:ln>
                <a:noFill/>
              </a:ln>
              <a:effectLst/>
            </c:spPr>
          </c:dPt>
          <c:dPt>
            <c:idx val="3"/>
            <c:invertIfNegative val="0"/>
            <c:bubble3D val="0"/>
            <c:spPr>
              <a:blipFill dpi="0" rotWithShape="1">
                <a:blip xmlns:r="http://schemas.openxmlformats.org/officeDocument/2006/relationships" r:embed="rId6"/>
                <a:srcRect/>
                <a:stretch>
                  <a:fillRect/>
                </a:stretch>
              </a:blipFill>
              <a:ln>
                <a:noFill/>
              </a:ln>
              <a:effectLst/>
            </c:spPr>
          </c:dPt>
          <c:dPt>
            <c:idx val="4"/>
            <c:invertIfNegative val="0"/>
            <c:bubble3D val="0"/>
            <c:spPr>
              <a:blipFill dpi="0" rotWithShape="1">
                <a:blip xmlns:r="http://schemas.openxmlformats.org/officeDocument/2006/relationships" r:embed="rId7"/>
                <a:srcRect/>
                <a:stretch>
                  <a:fillRect/>
                </a:stretch>
              </a:blip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bg1">
                          <a:lumMod val="65000"/>
                        </a:schemeClr>
                      </a:solidFill>
                      <a:prstDash val="solid"/>
                      <a:round/>
                    </a:ln>
                    <a:effectLst/>
                  </c:spPr>
                </c15:leaderLines>
              </c:ext>
            </c:extLst>
          </c:dLbls>
          <c:cat>
            <c:strRef>
              <c:f>Sheet1!$A$2:$A$6</c:f>
              <c:strCache>
                <c:ptCount val="5"/>
                <c:pt idx="0">
                  <c:v>很相关</c:v>
                </c:pt>
                <c:pt idx="1">
                  <c:v>比较相关</c:v>
                </c:pt>
                <c:pt idx="2">
                  <c:v>一般</c:v>
                </c:pt>
                <c:pt idx="3">
                  <c:v>比较不相关</c:v>
                </c:pt>
                <c:pt idx="4">
                  <c:v>很不相关</c:v>
                </c:pt>
              </c:strCache>
            </c:strRef>
          </c:cat>
          <c:val>
            <c:numRef>
              <c:f>Sheet1!$B$2:$B$6</c:f>
              <c:numCache>
                <c:formatCode>0.00%</c:formatCode>
                <c:ptCount val="5"/>
                <c:pt idx="0">
                  <c:v>0.180635838150289</c:v>
                </c:pt>
                <c:pt idx="1">
                  <c:v>0.32514450867052</c:v>
                </c:pt>
                <c:pt idx="2">
                  <c:v>0.263728323699422</c:v>
                </c:pt>
                <c:pt idx="3">
                  <c:v>0.11271676300578</c:v>
                </c:pt>
                <c:pt idx="4">
                  <c:v>0.117774566473988</c:v>
                </c:pt>
              </c:numCache>
            </c:numRef>
          </c:val>
        </c:ser>
        <c:dLbls>
          <c:showLegendKey val="0"/>
          <c:showVal val="0"/>
          <c:showCatName val="0"/>
          <c:showSerName val="0"/>
          <c:showPercent val="0"/>
          <c:showBubbleSize val="0"/>
        </c:dLbls>
        <c:gapWidth val="21"/>
        <c:overlap val="55"/>
        <c:axId val="276474864"/>
        <c:axId val="276475424"/>
      </c:barChart>
      <c:catAx>
        <c:axId val="276474864"/>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1050" b="0" i="0" u="none" strike="noStrike" kern="1200" baseline="0">
                <a:solidFill>
                  <a:schemeClr val="tx1"/>
                </a:solidFill>
                <a:latin typeface="宋体" panose="02010600030101010101" charset="-122"/>
                <a:ea typeface="宋体" panose="02010600030101010101" charset="-122"/>
                <a:cs typeface="+mn-cs"/>
              </a:defRPr>
            </a:pPr>
          </a:p>
        </c:txPr>
        <c:crossAx val="276475424"/>
        <c:crosses val="autoZero"/>
        <c:auto val="1"/>
        <c:lblAlgn val="ctr"/>
        <c:lblOffset val="100"/>
        <c:noMultiLvlLbl val="0"/>
      </c:catAx>
      <c:valAx>
        <c:axId val="276475424"/>
        <c:scaling>
          <c:orientation val="minMax"/>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76474864"/>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742587732089"/>
          <c:y val="0"/>
          <c:w val="0.560232713825752"/>
          <c:h val="1"/>
        </c:manualLayout>
      </c:layout>
      <c:barChart>
        <c:barDir val="bar"/>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1050" b="0" i="0" u="none" strike="noStrike" kern="1200" baseline="0">
                    <a:solidFill>
                      <a:schemeClr val="tx1"/>
                    </a:solidFill>
                    <a:latin typeface="Times New Roman" panose="02020603050405020304" charset="0"/>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6350" cap="flat" cmpd="sng" algn="ctr">
                      <a:solidFill>
                        <a:schemeClr val="tx1"/>
                      </a:solidFill>
                      <a:prstDash val="solid"/>
                      <a:round/>
                    </a:ln>
                    <a:effectLst/>
                  </c:spPr>
                </c15:leaderLines>
              </c:ext>
            </c:extLst>
          </c:dLbls>
          <c:cat>
            <c:strRef>
              <c:f>Sheet1!$A$2:$A$7</c:f>
              <c:strCache>
                <c:ptCount val="6"/>
                <c:pt idx="0">
                  <c:v>其他</c:v>
                </c:pt>
                <c:pt idx="1">
                  <c:v>不想找相关工作，因为收入待遇</c:v>
                </c:pt>
                <c:pt idx="2">
                  <c:v>不想找相关工作，因为工作环境</c:v>
                </c:pt>
                <c:pt idx="3">
                  <c:v>想找相关工作，但是不符合要求</c:v>
                </c:pt>
                <c:pt idx="4">
                  <c:v>想找相关工作，但是就业机会太少</c:v>
                </c:pt>
                <c:pt idx="5">
                  <c:v>不想找相关工作，因为个人兴趣</c:v>
                </c:pt>
              </c:strCache>
            </c:strRef>
          </c:cat>
          <c:val>
            <c:numRef>
              <c:f>Sheet1!$B$2:$B$7</c:f>
              <c:numCache>
                <c:formatCode>0.00%</c:formatCode>
                <c:ptCount val="6"/>
                <c:pt idx="0">
                  <c:v>0.1198738170347</c:v>
                </c:pt>
                <c:pt idx="1">
                  <c:v>0.0914826498422713</c:v>
                </c:pt>
                <c:pt idx="2">
                  <c:v>0.107255520504732</c:v>
                </c:pt>
                <c:pt idx="3">
                  <c:v>0.186119873817035</c:v>
                </c:pt>
                <c:pt idx="4">
                  <c:v>0.189274447949527</c:v>
                </c:pt>
                <c:pt idx="5">
                  <c:v>0.305993690851735</c:v>
                </c:pt>
              </c:numCache>
            </c:numRef>
          </c:val>
        </c:ser>
        <c:dLbls>
          <c:showLegendKey val="0"/>
          <c:showVal val="0"/>
          <c:showCatName val="0"/>
          <c:showSerName val="0"/>
          <c:showPercent val="0"/>
          <c:showBubbleSize val="0"/>
        </c:dLbls>
        <c:gapWidth val="100"/>
        <c:axId val="276477664"/>
        <c:axId val="276478224"/>
      </c:barChart>
      <c:catAx>
        <c:axId val="276477664"/>
        <c:scaling>
          <c:orientation val="minMax"/>
        </c:scaling>
        <c:delete val="0"/>
        <c:axPos val="l"/>
        <c:numFmt formatCode="General" sourceLinked="0"/>
        <c:majorTickMark val="none"/>
        <c:minorTickMark val="none"/>
        <c:tickLblPos val="nextTo"/>
        <c:spPr>
          <a:noFill/>
          <a:ln w="15875" cap="flat" cmpd="sng" algn="ctr">
            <a:solidFill>
              <a:schemeClr val="accent1"/>
            </a:solidFill>
            <a:prstDash val="solid"/>
            <a:round/>
          </a:ln>
          <a:effectLst/>
        </c:spPr>
        <c:txPr>
          <a:bodyPr rot="-60000000" spcFirstLastPara="1" vertOverflow="ellipsis" vert="horz" wrap="square" anchor="ctr" anchorCtr="1"/>
          <a:lstStyle/>
          <a:p>
            <a:pPr>
              <a:defRPr lang="zh-CN" sz="1050" b="0" i="0" u="none" strike="noStrike" kern="1200" baseline="0">
                <a:solidFill>
                  <a:schemeClr val="tx1"/>
                </a:solidFill>
                <a:latin typeface="+mn-ea"/>
                <a:ea typeface="+mn-ea"/>
                <a:cs typeface="+mn-cs"/>
              </a:defRPr>
            </a:pPr>
          </a:p>
        </c:txPr>
        <c:crossAx val="276478224"/>
        <c:crosses val="autoZero"/>
        <c:auto val="1"/>
        <c:lblAlgn val="ctr"/>
        <c:lblOffset val="100"/>
        <c:noMultiLvlLbl val="0"/>
      </c:catAx>
      <c:valAx>
        <c:axId val="276478224"/>
        <c:scaling>
          <c:orientation val="minMax"/>
          <c:min val="0"/>
        </c:scaling>
        <c:delete val="1"/>
        <c:axPos val="b"/>
        <c:numFmt formatCode="0.00%" sourceLinked="1"/>
        <c:majorTickMark val="in"/>
        <c:minorTickMark val="none"/>
        <c:tickLblPos val="nextTo"/>
        <c:txPr>
          <a:bodyPr rot="-60000000" spcFirstLastPara="0" vertOverflow="ellipsis" vert="horz" wrap="square" anchor="ctr" anchorCtr="1"/>
          <a:lstStyle/>
          <a:p>
            <a:pPr>
              <a:defRPr lang="zh-CN" sz="2400" b="0" i="0" u="none" strike="noStrike" kern="1200" baseline="0">
                <a:solidFill>
                  <a:schemeClr val="tx1"/>
                </a:solidFill>
                <a:latin typeface="+mn-lt"/>
                <a:ea typeface="+mn-ea"/>
                <a:cs typeface="+mn-cs"/>
              </a:defRPr>
            </a:pPr>
          </a:p>
        </c:txPr>
        <c:crossAx val="276477664"/>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lang="zh-CN" sz="2400"/>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1915425380745"/>
          <c:y val="0.152483388774264"/>
          <c:w val="0.410967826871959"/>
          <c:h val="0.662471346161944"/>
        </c:manualLayout>
      </c:layout>
      <c:radarChart>
        <c:radarStyle val="marker"/>
        <c:varyColors val="0"/>
        <c:ser>
          <c:idx val="0"/>
          <c:order val="0"/>
          <c:tx>
            <c:strRef>
              <c:f>Sheet1!$B$1</c:f>
              <c:strCache>
                <c:ptCount val="1"/>
                <c:pt idx="0">
                  <c:v>比例</c:v>
                </c:pt>
              </c:strCache>
            </c:strRef>
          </c:tx>
          <c:spPr>
            <a:ln w="28575" cap="rnd">
              <a:solidFill>
                <a:schemeClr val="tx2"/>
              </a:solidFill>
              <a:prstDash val="sysDash"/>
              <a:round/>
            </a:ln>
            <a:effectLst/>
          </c:spPr>
          <c:marker>
            <c:symbol val="circle"/>
            <c:size val="7"/>
            <c:spPr>
              <a:solidFill>
                <a:schemeClr val="accent4"/>
              </a:solidFill>
              <a:ln w="9525">
                <a:solidFill>
                  <a:schemeClr val="accent2"/>
                </a:solidFill>
              </a:ln>
              <a:effectLst/>
            </c:spPr>
          </c:marker>
          <c:dLbls>
            <c:dLbl>
              <c:idx val="0"/>
              <c:layout>
                <c:manualLayout>
                  <c:x val="-9.73095623542929e-17"/>
                  <c:y val="-0.0746783443513411"/>
                </c:manualLayout>
              </c:layou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116700201207243"/>
                  <c:y val="0.00590124331344395"/>
                </c:manualLayout>
              </c:layout>
              <c:showLegendKey val="0"/>
              <c:showVal val="1"/>
              <c:showCatName val="1"/>
              <c:showSerName val="0"/>
              <c:showPercent val="0"/>
              <c:showBubbleSize val="0"/>
              <c:extLst>
                <c:ext xmlns:c15="http://schemas.microsoft.com/office/drawing/2012/chart" uri="{CE6537A1-D6FC-4f65-9D91-7224C49458BB}">
                  <c15:layout>
                    <c:manualLayout>
                      <c:w val="0.232059020791415"/>
                      <c:h val="0.136434108527132"/>
                    </c:manualLayout>
                  </c15:layout>
                </c:ext>
              </c:extLst>
            </c:dLbl>
            <c:dLbl>
              <c:idx val="2"/>
              <c:layout>
                <c:manualLayout>
                  <c:x val="0.130114017437961"/>
                  <c:y val="0.062015503875969"/>
                </c:manualLayout>
              </c:layout>
              <c:showLegendKey val="0"/>
              <c:showVal val="1"/>
              <c:showCatName val="1"/>
              <c:showSerName val="0"/>
              <c:showPercent val="0"/>
              <c:showBubbleSize val="0"/>
              <c:extLst>
                <c:ext xmlns:c15="http://schemas.microsoft.com/office/drawing/2012/chart" uri="{CE6537A1-D6FC-4f65-9D91-7224C49458BB}">
                  <c15:layout>
                    <c:manualLayout>
                      <c:w val="0.252179745137492"/>
                      <c:h val="0.136434108527132"/>
                    </c:manualLayout>
                  </c15:layout>
                </c:ext>
              </c:extLst>
            </c:dLbl>
            <c:dLbl>
              <c:idx val="3"/>
              <c:layout>
                <c:manualLayout>
                  <c:x val="-0.0120722233664454"/>
                  <c:y val="0.0698382996243118"/>
                </c:manualLayout>
              </c:layout>
              <c:numFmt formatCode="General" sourceLinked="1"/>
              <c:spPr>
                <a:noFill/>
                <a:ln>
                  <a:noFill/>
                </a:ln>
                <a:effectLst/>
              </c:spPr>
              <c:txPr>
                <a:bodyPr rot="0" spcFirstLastPara="1" vertOverflow="clip" horzOverflow="clip" vert="horz" wrap="square" lIns="38100" tIns="19050" rIns="38100" bIns="19050" anchor="ctr" anchorCtr="1">
                  <a:noAutofit/>
                </a:bodyPr>
                <a:lstStyle/>
                <a:p>
                  <a:pPr>
                    <a:defRPr lang="zh-CN" sz="105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extLst>
                <c:ext xmlns:c15="http://schemas.microsoft.com/office/drawing/2012/chart" uri="{CE6537A1-D6FC-4f65-9D91-7224C49458BB}">
                  <c15:layout>
                    <c:manualLayout>
                      <c:w val="0.253521126760563"/>
                      <c:h val="0.181849621738459"/>
                    </c:manualLayout>
                  </c15:layout>
                </c:ext>
              </c:extLst>
            </c:dLbl>
            <c:dLbl>
              <c:idx val="4"/>
              <c:layout>
                <c:manualLayout>
                  <c:x val="-0.163504491516025"/>
                  <c:y val="-0.0230678691115169"/>
                </c:manualLayout>
              </c:layout>
              <c:showLegendKey val="0"/>
              <c:showVal val="1"/>
              <c:showCatName val="1"/>
              <c:showSerName val="0"/>
              <c:showPercent val="0"/>
              <c:showBubbleSize val="0"/>
              <c:extLst>
                <c:ext xmlns:c15="http://schemas.microsoft.com/office/drawing/2012/chart" uri="{CE6537A1-D6FC-4f65-9D91-7224C49458BB}">
                  <c15:layout>
                    <c:manualLayout>
                      <c:w val="0.261569416498994"/>
                      <c:h val="0.158708189158016"/>
                    </c:manualLayout>
                  </c15:layout>
                </c:ext>
              </c:extLst>
            </c:dLbl>
            <c:dLbl>
              <c:idx val="5"/>
              <c:layout>
                <c:manualLayout>
                  <c:x val="-0.178403755868545"/>
                  <c:y val="-0.0456781431732798"/>
                </c:manualLayout>
              </c:layout>
              <c:showLegendKey val="0"/>
              <c:showVal val="1"/>
              <c:showCatName val="1"/>
              <c:showSerName val="0"/>
              <c:showPercent val="0"/>
              <c:showBubbleSize val="0"/>
              <c:extLst>
                <c:ext xmlns:c15="http://schemas.microsoft.com/office/drawing/2012/chart" uri="{CE6537A1-D6FC-4f65-9D91-7224C49458BB}">
                  <c15:layout>
                    <c:manualLayout>
                      <c:w val="0.241448692152918"/>
                      <c:h val="0.172549019607843"/>
                    </c:manualLayout>
                  </c15:layout>
                </c:ext>
              </c:extLst>
            </c:dLbl>
            <c:spPr>
              <a:noFill/>
              <a:ln>
                <a:noFill/>
              </a:ln>
              <a:effectLst/>
            </c:spPr>
            <c:txPr>
              <a:bodyPr rot="0" spcFirstLastPara="1" vertOverflow="clip" horzOverflow="clip" vert="horz" wrap="square" lIns="38100" tIns="19050" rIns="38100" bIns="19050" anchor="ctr" anchorCtr="1">
                <a:spAutoFit/>
              </a:bodyPr>
              <a:lstStyle/>
              <a:p>
                <a:pPr>
                  <a:defRPr lang="zh-CN" sz="105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Sheet1!$A$2:$A$7</c:f>
              <c:strCache>
                <c:ptCount val="6"/>
                <c:pt idx="0">
                  <c:v>创新创业大赛</c:v>
                </c:pt>
                <c:pt idx="1">
                  <c:v>创业课程和讲座</c:v>
                </c:pt>
                <c:pt idx="2">
                  <c:v>创业模拟与实训</c:v>
                </c:pt>
                <c:pt idx="3">
                  <c:v>创业指导服务</c:v>
                </c:pt>
                <c:pt idx="4">
                  <c:v>创业场地支持</c:v>
                </c:pt>
                <c:pt idx="5">
                  <c:v>创业资金筹措支持</c:v>
                </c:pt>
              </c:strCache>
            </c:strRef>
          </c:cat>
          <c:val>
            <c:numRef>
              <c:f>Sheet1!$B$2:$B$7</c:f>
              <c:numCache>
                <c:formatCode>0.00%</c:formatCode>
                <c:ptCount val="6"/>
                <c:pt idx="0">
                  <c:v>0.942894507410636</c:v>
                </c:pt>
                <c:pt idx="1">
                  <c:v>0.939774696707106</c:v>
                </c:pt>
                <c:pt idx="2">
                  <c:v>0.9375</c:v>
                </c:pt>
                <c:pt idx="3">
                  <c:v>0.936653560506772</c:v>
                </c:pt>
                <c:pt idx="4">
                  <c:v>0.769683257918552</c:v>
                </c:pt>
                <c:pt idx="5">
                  <c:v>0.725643382352941</c:v>
                </c:pt>
              </c:numCache>
            </c:numRef>
          </c:val>
        </c:ser>
        <c:dLbls>
          <c:showLegendKey val="0"/>
          <c:showVal val="0"/>
          <c:showCatName val="0"/>
          <c:showSerName val="0"/>
          <c:showPercent val="0"/>
          <c:showBubbleSize val="0"/>
        </c:dLbls>
        <c:axId val="250774288"/>
        <c:axId val="256048096"/>
      </c:radarChart>
      <c:catAx>
        <c:axId val="250774288"/>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256048096"/>
        <c:crosses val="autoZero"/>
        <c:auto val="1"/>
        <c:lblAlgn val="ctr"/>
        <c:lblOffset val="100"/>
        <c:noMultiLvlLbl val="0"/>
      </c:catAx>
      <c:valAx>
        <c:axId val="256048096"/>
        <c:scaling>
          <c:orientation val="minMax"/>
          <c:max val="1"/>
          <c:min val="0.5"/>
        </c:scaling>
        <c:delete val="1"/>
        <c:axPos val="l"/>
        <c:majorGridlines>
          <c:spPr>
            <a:ln w="9525" cap="flat" cmpd="sng" algn="ctr">
              <a:solidFill>
                <a:schemeClr val="tx1">
                  <a:lumMod val="15000"/>
                  <a:lumOff val="85000"/>
                </a:schemeClr>
              </a:solidFill>
              <a:round/>
            </a:ln>
            <a:effectLst/>
          </c:spPr>
        </c:majorGridlines>
        <c:numFmt formatCode="0.00%" sourceLinked="0"/>
        <c:majorTickMark val="out"/>
        <c:minorTickMark val="none"/>
        <c:tickLblPos val="nextTo"/>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250774288"/>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solidFill>
            <a:sysClr val="windowText" lastClr="000000"/>
          </a:solidFill>
        </a:defRPr>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486284033772887"/>
          <c:y val="0.0936724353306104"/>
          <c:w val="0.918863105967176"/>
          <c:h val="0.731062940026189"/>
        </c:manualLayout>
      </c:layout>
      <c:barChart>
        <c:barDir val="col"/>
        <c:grouping val="clustered"/>
        <c:varyColors val="0"/>
        <c:ser>
          <c:idx val="0"/>
          <c:order val="0"/>
          <c:tx>
            <c:strRef>
              <c:f>Sheet1!$B$1</c:f>
              <c:strCache>
                <c:ptCount val="1"/>
                <c:pt idx="0">
                  <c:v>总体</c:v>
                </c:pt>
              </c:strCache>
            </c:strRef>
          </c:tx>
          <c:spPr>
            <a:blipFill dpi="0" rotWithShape="1">
              <a:blip xmlns:r="http://schemas.openxmlformats.org/officeDocument/2006/relationships" r:embed="rId2">
                <a:extLst>
                  <a:ext uri="{28A0092B-C50C-407E-A947-70E740481C1C}">
                    <a14:useLocalDpi xmlns:a14="http://schemas.microsoft.com/office/drawing/2010/main" val="0"/>
                  </a:ext>
                </a:extLst>
              </a:blip>
              <a:srcRect/>
              <a:stretch>
                <a:fillRect/>
              </a:stretch>
            </a:blipFill>
            <a:ln>
              <a:noFill/>
            </a:ln>
            <a:effectLst/>
          </c:spPr>
          <c:invertIfNegative val="0"/>
          <c:dPt>
            <c:idx val="0"/>
            <c:invertIfNegative val="0"/>
            <c:bubble3D val="0"/>
            <c:spPr>
              <a:blipFill dpi="0" rotWithShape="1">
                <a:blip xmlns:r="http://schemas.openxmlformats.org/officeDocument/2006/relationships" r:embed="rId3"/>
                <a:srcRect/>
                <a:stretch>
                  <a:fillRect/>
                </a:stretch>
              </a:blipFill>
              <a:ln>
                <a:noFill/>
              </a:ln>
              <a:effectLst/>
            </c:spPr>
          </c:dPt>
          <c:dPt>
            <c:idx val="1"/>
            <c:invertIfNegative val="0"/>
            <c:bubble3D val="0"/>
            <c:spPr>
              <a:blipFill dpi="0" rotWithShape="1">
                <a:blip xmlns:r="http://schemas.openxmlformats.org/officeDocument/2006/relationships" r:embed="rId4"/>
                <a:srcRect/>
                <a:stretch>
                  <a:fillRect/>
                </a:stretch>
              </a:blipFill>
              <a:ln>
                <a:noFill/>
              </a:ln>
              <a:effectLst/>
            </c:spPr>
          </c:dPt>
          <c:dPt>
            <c:idx val="2"/>
            <c:invertIfNegative val="0"/>
            <c:bubble3D val="0"/>
            <c:spPr>
              <a:blipFill dpi="0" rotWithShape="1">
                <a:blip xmlns:r="http://schemas.openxmlformats.org/officeDocument/2006/relationships" r:embed="rId5"/>
                <a:srcRect/>
                <a:stretch>
                  <a:fillRect/>
                </a:stretch>
              </a:blipFill>
              <a:ln>
                <a:noFill/>
              </a:ln>
              <a:effectLst/>
            </c:spPr>
          </c:dPt>
          <c:dPt>
            <c:idx val="3"/>
            <c:invertIfNegative val="0"/>
            <c:bubble3D val="0"/>
            <c:spPr>
              <a:blipFill dpi="0" rotWithShape="1">
                <a:blip xmlns:r="http://schemas.openxmlformats.org/officeDocument/2006/relationships" r:embed="rId6"/>
                <a:srcRect/>
                <a:stretch>
                  <a:fillRect/>
                </a:stretch>
              </a:blipFill>
              <a:ln>
                <a:noFill/>
              </a:ln>
              <a:effectLst/>
            </c:spPr>
          </c:dPt>
          <c:dLbls>
            <c:spPr>
              <a:noFill/>
              <a:ln>
                <a:noFill/>
              </a:ln>
              <a:effectLst/>
            </c:spPr>
            <c:txPr>
              <a:bodyPr rot="0" spcFirstLastPara="1" vertOverflow="ellipsis" vert="horz" wrap="square" lIns="38100" tIns="19050" rIns="38100" bIns="19050" anchor="ctr" anchorCtr="1"/>
              <a:lstStyle/>
              <a:p>
                <a:pPr>
                  <a:defRPr lang="zh-CN" sz="1050" b="0" i="0" u="none" strike="noStrike" kern="1200" baseline="0">
                    <a:solidFill>
                      <a:schemeClr val="tx1"/>
                    </a:solidFill>
                    <a:latin typeface="Times New Roman" panose="02020603050405020304" charset="0"/>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bg1">
                          <a:lumMod val="65000"/>
                        </a:schemeClr>
                      </a:solidFill>
                      <a:prstDash val="solid"/>
                      <a:round/>
                    </a:ln>
                    <a:effectLst/>
                  </c:spPr>
                </c15:leaderLines>
              </c:ext>
            </c:extLst>
          </c:dLbls>
          <c:cat>
            <c:strRef>
              <c:f>Sheet1!$A$2:$A$5</c:f>
              <c:strCache>
                <c:ptCount val="4"/>
                <c:pt idx="0">
                  <c:v>工作总体</c:v>
                </c:pt>
                <c:pt idx="1">
                  <c:v>工作内容</c:v>
                </c:pt>
                <c:pt idx="2">
                  <c:v>职业发展前景</c:v>
                </c:pt>
                <c:pt idx="3">
                  <c:v>薪酬</c:v>
                </c:pt>
              </c:strCache>
            </c:strRef>
          </c:cat>
          <c:val>
            <c:numRef>
              <c:f>Sheet1!$B$2:$B$5</c:f>
              <c:numCache>
                <c:formatCode>0.00%</c:formatCode>
                <c:ptCount val="4"/>
                <c:pt idx="0">
                  <c:v>0.921975662133143</c:v>
                </c:pt>
                <c:pt idx="1">
                  <c:v>0.932803468208092</c:v>
                </c:pt>
                <c:pt idx="2">
                  <c:v>0.928005759539237</c:v>
                </c:pt>
                <c:pt idx="3">
                  <c:v>0.830459770114943</c:v>
                </c:pt>
              </c:numCache>
            </c:numRef>
          </c:val>
        </c:ser>
        <c:dLbls>
          <c:showLegendKey val="0"/>
          <c:showVal val="0"/>
          <c:showCatName val="0"/>
          <c:showSerName val="0"/>
          <c:showPercent val="0"/>
          <c:showBubbleSize val="0"/>
        </c:dLbls>
        <c:gapWidth val="21"/>
        <c:overlap val="55"/>
        <c:axId val="277671200"/>
        <c:axId val="277671760"/>
      </c:barChart>
      <c:catAx>
        <c:axId val="277671200"/>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1050" b="0" i="0" u="none" strike="noStrike" kern="1200" baseline="0">
                <a:solidFill>
                  <a:schemeClr val="tx1"/>
                </a:solidFill>
                <a:latin typeface="+mn-ea"/>
                <a:ea typeface="+mn-ea"/>
                <a:cs typeface="+mn-cs"/>
              </a:defRPr>
            </a:pPr>
          </a:p>
        </c:txPr>
        <c:crossAx val="277671760"/>
        <c:crosses val="autoZero"/>
        <c:auto val="1"/>
        <c:lblAlgn val="ctr"/>
        <c:lblOffset val="100"/>
        <c:noMultiLvlLbl val="0"/>
      </c:catAx>
      <c:valAx>
        <c:axId val="277671760"/>
        <c:scaling>
          <c:orientation val="minMax"/>
          <c:min val="0"/>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1050" b="0" i="0" u="none" strike="noStrike" kern="1200" baseline="0">
                <a:solidFill>
                  <a:schemeClr val="tx1"/>
                </a:solidFill>
                <a:latin typeface="+mn-lt"/>
                <a:ea typeface="+mn-ea"/>
                <a:cs typeface="+mn-cs"/>
              </a:defRPr>
            </a:pPr>
          </a:p>
        </c:txPr>
        <c:crossAx val="277671200"/>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sz="1050" baseline="0"/>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3342285597096"/>
          <c:y val="0.0268463329081893"/>
          <c:w val="0.672534906883656"/>
          <c:h val="0.956966081719124"/>
        </c:manualLayout>
      </c:layout>
      <c:barChart>
        <c:barDir val="bar"/>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0"/>
              <a:lstStyle/>
              <a:p>
                <a:pPr algn="l">
                  <a:defRPr lang="zh-CN" sz="1050" b="0" i="0" u="none" strike="noStrike" kern="1200" baseline="0">
                    <a:solidFill>
                      <a:sysClr val="windowText" lastClr="000000"/>
                    </a:solidFill>
                    <a:latin typeface="Times New Roman" panose="02020603050405020304"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6350" cap="flat" cmpd="sng" algn="ctr">
                      <a:solidFill>
                        <a:schemeClr val="tx1"/>
                      </a:solidFill>
                      <a:prstDash val="solid"/>
                      <a:round/>
                    </a:ln>
                    <a:effectLst/>
                  </c:spPr>
                </c15:leaderLines>
              </c:ext>
            </c:extLst>
          </c:dLbls>
          <c:cat>
            <c:strRef>
              <c:f>Sheet1!$A$2:$A$19</c:f>
              <c:strCache>
                <c:ptCount val="18"/>
                <c:pt idx="0">
                  <c:v>其他金融业</c:v>
                </c:pt>
                <c:pt idx="1">
                  <c:v>商务服务业</c:v>
                </c:pt>
                <c:pt idx="2">
                  <c:v>互联网和相关服务</c:v>
                </c:pt>
                <c:pt idx="3">
                  <c:v>房地产业</c:v>
                </c:pt>
                <c:pt idx="4">
                  <c:v>土木工程建筑业</c:v>
                </c:pt>
                <c:pt idx="5">
                  <c:v>电力、热力生产和供应业</c:v>
                </c:pt>
                <c:pt idx="6">
                  <c:v>建筑安装业</c:v>
                </c:pt>
                <c:pt idx="7">
                  <c:v>教育</c:v>
                </c:pt>
                <c:pt idx="8">
                  <c:v>房屋建筑业</c:v>
                </c:pt>
                <c:pt idx="9">
                  <c:v>建筑装饰和其他建筑业</c:v>
                </c:pt>
                <c:pt idx="10">
                  <c:v>研究和试验发展</c:v>
                </c:pt>
                <c:pt idx="11">
                  <c:v>专业技术服务业</c:v>
                </c:pt>
                <c:pt idx="12">
                  <c:v>货币金融服务</c:v>
                </c:pt>
                <c:pt idx="13">
                  <c:v>软件和信息技术服务业</c:v>
                </c:pt>
                <c:pt idx="14">
                  <c:v>医药制造业</c:v>
                </c:pt>
                <c:pt idx="15">
                  <c:v>零售业</c:v>
                </c:pt>
                <c:pt idx="16">
                  <c:v>卫生</c:v>
                </c:pt>
                <c:pt idx="17">
                  <c:v>保险业</c:v>
                </c:pt>
              </c:strCache>
            </c:strRef>
          </c:cat>
          <c:val>
            <c:numRef>
              <c:f>Sheet1!$B$2:$B$19</c:f>
              <c:numCache>
                <c:formatCode>0.00%</c:formatCode>
                <c:ptCount val="18"/>
                <c:pt idx="0">
                  <c:v>0.785714285714286</c:v>
                </c:pt>
                <c:pt idx="1">
                  <c:v>0.787878787878788</c:v>
                </c:pt>
                <c:pt idx="2">
                  <c:v>0.887096774193548</c:v>
                </c:pt>
                <c:pt idx="3">
                  <c:v>0.897435897435897</c:v>
                </c:pt>
                <c:pt idx="4">
                  <c:v>0.906976744186046</c:v>
                </c:pt>
                <c:pt idx="5">
                  <c:v>0.909090909090909</c:v>
                </c:pt>
                <c:pt idx="6">
                  <c:v>0.91304347826087</c:v>
                </c:pt>
                <c:pt idx="7">
                  <c:v>0.925531914893617</c:v>
                </c:pt>
                <c:pt idx="8">
                  <c:v>0.925925925925926</c:v>
                </c:pt>
                <c:pt idx="9">
                  <c:v>0.931034482758621</c:v>
                </c:pt>
                <c:pt idx="10">
                  <c:v>0.933333333333333</c:v>
                </c:pt>
                <c:pt idx="11">
                  <c:v>0.936170212765957</c:v>
                </c:pt>
                <c:pt idx="12">
                  <c:v>0.942857142857143</c:v>
                </c:pt>
                <c:pt idx="13">
                  <c:v>0.96078431372549</c:v>
                </c:pt>
                <c:pt idx="14">
                  <c:v>0.964285714285714</c:v>
                </c:pt>
                <c:pt idx="15">
                  <c:v>1</c:v>
                </c:pt>
                <c:pt idx="16">
                  <c:v>1</c:v>
                </c:pt>
                <c:pt idx="17">
                  <c:v>1</c:v>
                </c:pt>
              </c:numCache>
            </c:numRef>
          </c:val>
        </c:ser>
        <c:ser>
          <c:idx val="1"/>
          <c:order val="1"/>
          <c:tx>
            <c:strRef>
              <c:f>Sheet1!$C$1</c:f>
              <c:strCache>
                <c:ptCount val="1"/>
                <c:pt idx="0">
                  <c:v>列1</c:v>
                </c:pt>
              </c:strCache>
            </c:strRef>
          </c:tx>
          <c:spPr>
            <a:solidFill>
              <a:schemeClr val="accent2"/>
            </a:solidFill>
            <a:ln>
              <a:noFill/>
            </a:ln>
            <a:effectLst/>
          </c:spPr>
          <c:invertIfNegative val="0"/>
          <c:dLbls>
            <c:spPr>
              <a:noFill/>
              <a:ln>
                <a:noFill/>
              </a:ln>
              <a:effectLst/>
            </c:spPr>
            <c:txPr>
              <a:bodyPr rot="0" spcFirstLastPara="1" vertOverflow="overflow" horzOverflow="overflow" vert="horz" wrap="none" lIns="38100" tIns="19050" rIns="38100" bIns="19050" anchor="ctr" anchorCtr="0">
                <a:spAutoFit/>
              </a:bodyPr>
              <a:lstStyle/>
              <a:p>
                <a:pPr algn="l">
                  <a:defRPr lang="zh-CN" sz="1050" b="0" i="0" u="none" strike="noStrike" kern="1200" baseline="0">
                    <a:solidFill>
                      <a:sysClr val="windowText" lastClr="000000"/>
                    </a:solidFill>
                    <a:latin typeface="宋体" panose="02010600030101010101" charset="-122"/>
                    <a:ea typeface="宋体" panose="02010600030101010101" charset="-122"/>
                    <a:cs typeface="+mn-cs"/>
                  </a:defRPr>
                </a:pPr>
              </a:p>
            </c:txPr>
            <c:dLblPos val="inBase"/>
            <c:showLegendKey val="0"/>
            <c:showVal val="0"/>
            <c:showCatName val="1"/>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shade val="95000"/>
                          <a:satMod val="105000"/>
                        </a:schemeClr>
                      </a:solidFill>
                      <a:prstDash val="solid"/>
                      <a:round/>
                    </a:ln>
                    <a:effectLst/>
                  </c:spPr>
                </c15:leaderLines>
              </c:ext>
            </c:extLst>
          </c:dLbls>
          <c:cat>
            <c:strRef>
              <c:f>Sheet1!$A$2:$A$19</c:f>
              <c:strCache>
                <c:ptCount val="18"/>
                <c:pt idx="0">
                  <c:v>其他金融业</c:v>
                </c:pt>
                <c:pt idx="1">
                  <c:v>商务服务业</c:v>
                </c:pt>
                <c:pt idx="2">
                  <c:v>互联网和相关服务</c:v>
                </c:pt>
                <c:pt idx="3">
                  <c:v>房地产业</c:v>
                </c:pt>
                <c:pt idx="4">
                  <c:v>土木工程建筑业</c:v>
                </c:pt>
                <c:pt idx="5">
                  <c:v>电力、热力生产和供应业</c:v>
                </c:pt>
                <c:pt idx="6">
                  <c:v>建筑安装业</c:v>
                </c:pt>
                <c:pt idx="7">
                  <c:v>教育</c:v>
                </c:pt>
                <c:pt idx="8">
                  <c:v>房屋建筑业</c:v>
                </c:pt>
                <c:pt idx="9">
                  <c:v>建筑装饰和其他建筑业</c:v>
                </c:pt>
                <c:pt idx="10">
                  <c:v>研究和试验发展</c:v>
                </c:pt>
                <c:pt idx="11">
                  <c:v>专业技术服务业</c:v>
                </c:pt>
                <c:pt idx="12">
                  <c:v>货币金融服务</c:v>
                </c:pt>
                <c:pt idx="13">
                  <c:v>软件和信息技术服务业</c:v>
                </c:pt>
                <c:pt idx="14">
                  <c:v>医药制造业</c:v>
                </c:pt>
                <c:pt idx="15">
                  <c:v>零售业</c:v>
                </c:pt>
                <c:pt idx="16">
                  <c:v>卫生</c:v>
                </c:pt>
                <c:pt idx="17">
                  <c:v>保险业</c:v>
                </c:pt>
              </c:strCache>
            </c:strRef>
          </c:cat>
          <c:val>
            <c:numRef>
              <c:f>Sheet1!$C$2:$C$19</c:f>
              <c:numCache>
                <c:formatCode>0.00%</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val>
        </c:ser>
        <c:dLbls>
          <c:showLegendKey val="0"/>
          <c:showVal val="0"/>
          <c:showCatName val="0"/>
          <c:showSerName val="0"/>
          <c:showPercent val="0"/>
          <c:showBubbleSize val="0"/>
        </c:dLbls>
        <c:gapWidth val="0"/>
        <c:overlap val="-16"/>
        <c:axId val="277674560"/>
        <c:axId val="277675120"/>
      </c:barChart>
      <c:catAx>
        <c:axId val="277674560"/>
        <c:scaling>
          <c:orientation val="minMax"/>
        </c:scaling>
        <c:delete val="0"/>
        <c:axPos val="l"/>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0" vertOverflow="ellipsis" vert="horz" wrap="square" anchor="ctr" anchorCtr="1"/>
          <a:lstStyle/>
          <a:p>
            <a:pPr>
              <a:defRPr lang="zh-CN" sz="900" b="0" i="0" u="none" strike="noStrike" kern="1200" baseline="0">
                <a:noFill/>
                <a:latin typeface="+mn-lt"/>
                <a:ea typeface="+mn-ea"/>
                <a:cs typeface="+mn-cs"/>
              </a:defRPr>
            </a:pPr>
          </a:p>
        </c:txPr>
        <c:crossAx val="277675120"/>
        <c:crosses val="autoZero"/>
        <c:auto val="1"/>
        <c:lblAlgn val="ctr"/>
        <c:lblOffset val="100"/>
        <c:tickLblSkip val="1"/>
        <c:noMultiLvlLbl val="0"/>
      </c:catAx>
      <c:valAx>
        <c:axId val="277675120"/>
        <c:scaling>
          <c:orientation val="minMax"/>
          <c:max val="1"/>
          <c:min val="0"/>
        </c:scaling>
        <c:delete val="1"/>
        <c:axPos val="b"/>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77674560"/>
        <c:crosses val="autoZero"/>
        <c:crossBetween val="between"/>
        <c:majorUnit val="0.2"/>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sz="1000"/>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486284033772887"/>
          <c:y val="0.0936724353306104"/>
          <c:w val="0.918863105967176"/>
          <c:h val="0.678129547877975"/>
        </c:manualLayout>
      </c:layout>
      <c:barChart>
        <c:barDir val="col"/>
        <c:grouping val="clustered"/>
        <c:varyColors val="0"/>
        <c:ser>
          <c:idx val="0"/>
          <c:order val="0"/>
          <c:tx>
            <c:strRef>
              <c:f>Sheet1!$B$1</c:f>
              <c:strCache>
                <c:ptCount val="1"/>
                <c:pt idx="0">
                  <c:v>总体</c:v>
                </c:pt>
              </c:strCache>
            </c:strRef>
          </c:tx>
          <c:spPr>
            <a:blipFill dpi="0" rotWithShape="1">
              <a:blip xmlns:r="http://schemas.openxmlformats.org/officeDocument/2006/relationships" r:embed="rId2">
                <a:extLst>
                  <a:ext uri="{28A0092B-C50C-407E-A947-70E740481C1C}">
                    <a14:useLocalDpi xmlns:a14="http://schemas.microsoft.com/office/drawing/2010/main" val="0"/>
                  </a:ext>
                </a:extLst>
              </a:blip>
              <a:srcRect/>
              <a:stretch>
                <a:fillRect/>
              </a:stretch>
            </a:blipFill>
            <a:ln>
              <a:noFill/>
            </a:ln>
            <a:effectLst/>
          </c:spPr>
          <c:invertIfNegative val="0"/>
          <c:dPt>
            <c:idx val="0"/>
            <c:invertIfNegative val="0"/>
            <c:bubble3D val="0"/>
            <c:spPr>
              <a:blipFill dpi="0" rotWithShape="1">
                <a:blip xmlns:r="http://schemas.openxmlformats.org/officeDocument/2006/relationships" r:embed="rId3"/>
                <a:srcRect/>
                <a:stretch>
                  <a:fillRect/>
                </a:stretch>
              </a:blipFill>
              <a:ln>
                <a:noFill/>
              </a:ln>
              <a:effectLst/>
            </c:spPr>
          </c:dPt>
          <c:dPt>
            <c:idx val="1"/>
            <c:invertIfNegative val="0"/>
            <c:bubble3D val="0"/>
            <c:spPr>
              <a:blipFill dpi="0" rotWithShape="1">
                <a:blip xmlns:r="http://schemas.openxmlformats.org/officeDocument/2006/relationships" r:embed="rId4"/>
                <a:srcRect/>
                <a:stretch>
                  <a:fillRect/>
                </a:stretch>
              </a:blipFill>
              <a:ln>
                <a:noFill/>
              </a:ln>
              <a:effectLst/>
            </c:spPr>
          </c:dPt>
          <c:dPt>
            <c:idx val="2"/>
            <c:invertIfNegative val="0"/>
            <c:bubble3D val="0"/>
            <c:spPr>
              <a:blipFill dpi="0" rotWithShape="1">
                <a:blip xmlns:r="http://schemas.openxmlformats.org/officeDocument/2006/relationships" r:embed="rId5"/>
                <a:srcRect/>
                <a:stretch>
                  <a:fillRect/>
                </a:stretch>
              </a:blipFill>
              <a:ln>
                <a:noFill/>
              </a:ln>
              <a:effectLst/>
            </c:spPr>
          </c:dPt>
          <c:dPt>
            <c:idx val="3"/>
            <c:invertIfNegative val="0"/>
            <c:bubble3D val="0"/>
            <c:spPr>
              <a:blipFill dpi="0" rotWithShape="1">
                <a:blip xmlns:r="http://schemas.openxmlformats.org/officeDocument/2006/relationships" r:embed="rId6"/>
                <a:srcRect/>
                <a:stretch>
                  <a:fillRect/>
                </a:stretch>
              </a:blipFill>
              <a:ln>
                <a:noFill/>
              </a:ln>
              <a:effectLst/>
            </c:spPr>
          </c:dPt>
          <c:dPt>
            <c:idx val="4"/>
            <c:invertIfNegative val="0"/>
            <c:bubble3D val="0"/>
            <c:spPr>
              <a:blipFill dpi="0" rotWithShape="1">
                <a:blip xmlns:r="http://schemas.openxmlformats.org/officeDocument/2006/relationships" r:embed="rId7"/>
                <a:srcRect/>
                <a:stretch>
                  <a:fillRect/>
                </a:stretch>
              </a:blip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50" b="0" i="0" u="none" strike="noStrike" kern="1200" baseline="0">
                    <a:solidFill>
                      <a:schemeClr val="tx1"/>
                    </a:solidFill>
                    <a:latin typeface="Times New Roman" panose="02020603050405020304" charset="0"/>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bg1">
                          <a:lumMod val="65000"/>
                        </a:schemeClr>
                      </a:solidFill>
                      <a:prstDash val="solid"/>
                      <a:round/>
                    </a:ln>
                    <a:effectLst/>
                  </c:spPr>
                </c15:leaderLines>
              </c:ext>
            </c:extLst>
          </c:dLbls>
          <c:cat>
            <c:strRef>
              <c:f>Sheet1!$A$2:$A$6</c:f>
              <c:strCache>
                <c:ptCount val="5"/>
                <c:pt idx="0">
                  <c:v>很符合</c:v>
                </c:pt>
                <c:pt idx="1">
                  <c:v>比较符合</c:v>
                </c:pt>
                <c:pt idx="2">
                  <c:v>一般</c:v>
                </c:pt>
                <c:pt idx="3">
                  <c:v>比较不符合</c:v>
                </c:pt>
                <c:pt idx="4">
                  <c:v>很不符合</c:v>
                </c:pt>
              </c:strCache>
            </c:strRef>
          </c:cat>
          <c:val>
            <c:numRef>
              <c:f>Sheet1!$B$2:$B$6</c:f>
              <c:numCache>
                <c:formatCode>0.00%</c:formatCode>
                <c:ptCount val="5"/>
                <c:pt idx="0">
                  <c:v>0.0573294629898404</c:v>
                </c:pt>
                <c:pt idx="1">
                  <c:v>0.353410740203193</c:v>
                </c:pt>
                <c:pt idx="2">
                  <c:v>0.436865021770682</c:v>
                </c:pt>
                <c:pt idx="3">
                  <c:v>0.125544267053701</c:v>
                </c:pt>
                <c:pt idx="4">
                  <c:v>0.0268505079825835</c:v>
                </c:pt>
              </c:numCache>
            </c:numRef>
          </c:val>
        </c:ser>
        <c:dLbls>
          <c:showLegendKey val="0"/>
          <c:showVal val="0"/>
          <c:showCatName val="0"/>
          <c:showSerName val="0"/>
          <c:showPercent val="0"/>
          <c:showBubbleSize val="0"/>
        </c:dLbls>
        <c:gapWidth val="21"/>
        <c:overlap val="55"/>
        <c:axId val="277677360"/>
        <c:axId val="277677920"/>
      </c:barChart>
      <c:catAx>
        <c:axId val="277677360"/>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1050" b="0" i="0" u="none" strike="noStrike" kern="1200" baseline="0">
                <a:solidFill>
                  <a:schemeClr val="tx1"/>
                </a:solidFill>
                <a:latin typeface="宋体" panose="02010600030101010101" charset="-122"/>
                <a:ea typeface="宋体" panose="02010600030101010101" charset="-122"/>
                <a:cs typeface="+mn-cs"/>
              </a:defRPr>
            </a:pPr>
          </a:p>
        </c:txPr>
        <c:crossAx val="277677920"/>
        <c:crosses val="autoZero"/>
        <c:auto val="1"/>
        <c:lblAlgn val="ctr"/>
        <c:lblOffset val="100"/>
        <c:noMultiLvlLbl val="0"/>
      </c:catAx>
      <c:valAx>
        <c:axId val="277677920"/>
        <c:scaling>
          <c:orientation val="minMax"/>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77677360"/>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8777157516394"/>
          <c:y val="0.183343372843405"/>
          <c:w val="0.366328474227497"/>
          <c:h val="0.706642155862794"/>
        </c:manualLayout>
      </c:layout>
      <c:doughnutChart>
        <c:varyColors val="1"/>
        <c:ser>
          <c:idx val="0"/>
          <c:order val="0"/>
          <c:tx>
            <c:strRef>
              <c:f>Sheet1!$B$1</c:f>
              <c:strCache>
                <c:ptCount val="1"/>
                <c:pt idx="0">
                  <c:v>销售额</c:v>
                </c:pt>
              </c:strCache>
            </c:strRef>
          </c:tx>
          <c:explosion val="0"/>
          <c:dPt>
            <c:idx val="0"/>
            <c:bubble3D val="0"/>
            <c:spPr>
              <a:solidFill>
                <a:schemeClr val="accent1"/>
              </a:solidFill>
              <a:ln w="19050">
                <a:solidFill>
                  <a:schemeClr val="lt1"/>
                </a:solidFill>
              </a:ln>
              <a:effectLst/>
            </c:spPr>
          </c:dPt>
          <c:dPt>
            <c:idx val="1"/>
            <c:bubble3D val="0"/>
            <c:spPr>
              <a:solidFill>
                <a:schemeClr val="accent3"/>
              </a:solidFill>
              <a:ln w="19050">
                <a:solidFill>
                  <a:schemeClr val="lt1"/>
                </a:solidFill>
              </a:ln>
              <a:effectLst/>
            </c:spPr>
          </c:dPt>
          <c:dPt>
            <c:idx val="2"/>
            <c:bubble3D val="0"/>
            <c:spPr>
              <a:solidFill>
                <a:schemeClr val="accent5"/>
              </a:solidFill>
              <a:ln w="19050">
                <a:solidFill>
                  <a:schemeClr val="lt1"/>
                </a:solidFill>
              </a:ln>
              <a:effectLst/>
            </c:spPr>
          </c:dPt>
          <c:dPt>
            <c:idx val="3"/>
            <c:bubble3D val="0"/>
            <c:spPr>
              <a:solidFill>
                <a:schemeClr val="accent1">
                  <a:lumMod val="60000"/>
                </a:schemeClr>
              </a:solidFill>
              <a:ln w="19050">
                <a:solidFill>
                  <a:schemeClr val="lt1"/>
                </a:solidFill>
              </a:ln>
              <a:effectLst/>
            </c:spPr>
          </c:dPt>
          <c:dLbls>
            <c:dLbl>
              <c:idx val="0"/>
              <c:layout>
                <c:manualLayout>
                  <c:x val="0.105070647177161"/>
                  <c:y val="0.000455497771708685"/>
                </c:manualLayout>
              </c:layou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111331540975612"/>
                  <c:y val="-0.0454585816212169"/>
                </c:manualLayout>
              </c:layou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108558813424813"/>
                  <c:y val="-0.110670090084667"/>
                </c:manualLayout>
              </c:layout>
              <c:tx>
                <c:rich>
                  <a:bodyPr rot="0" spcFirstLastPara="1" vertOverflow="ellipsis" vert="horz" wrap="square" lIns="38100" tIns="19050" rIns="38100" bIns="19050" anchor="ctr" anchorCtr="1"/>
                  <a:lstStyle/>
                  <a:p>
                    <a:fld id="{9e70c81f-b7e2-4c6d-a01e-0de9d6ccf9dd}" type="CATEGORYNAME">
                      <a:t>[CATEGORY NAME]</a:t>
                    </a:fld>
                    <a:r>
                      <a:t>,</a:t>
                    </a:r>
                    <a:fld id="{6cfdbdd9-61d0-4143-bafd-8a2133d1f72b}" type="VALUE">
                      <a:t>[VALUE]</a:t>
                    </a:fld>
                    <a:endParaRPr lang="en-US" altLang="zh-CN" b="0" i="0" u="none" strike="noStrike" baseline="0">
                      <a:latin typeface="Times New Roman" panose="02020603050405020304" charset="0"/>
                      <a:ea typeface="Times New Roman" panose="02020603050405020304" charset="0"/>
                      <a:cs typeface="+mn-ea"/>
                    </a:endParaRPr>
                  </a:p>
                </c:rich>
              </c:tx>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0345589930742369"/>
                  <c:y val="-0.170591789816335"/>
                </c:manualLayout>
              </c:layout>
              <c:tx>
                <c:rich>
                  <a:bodyPr rot="0" spcFirstLastPara="1" vertOverflow="ellipsis" vert="horz" wrap="square" lIns="38100" tIns="19050" rIns="38100" bIns="19050" anchor="ctr" anchorCtr="1">
                    <a:noAutofit/>
                  </a:bodyPr>
                  <a:lstStyle/>
                  <a:p>
                    <a:fld id="{6d81a8d0-da91-4aac-934f-0a1dded38ea0}" type="CATEGORYNAME">
                      <a:t>[CATEGORY NAME]</a:t>
                    </a:fld>
                    <a:r>
                      <a:t>,</a:t>
                    </a:r>
                    <a:fld id="{ca7554fa-b7a8-42b5-a6aa-b48ba86e5f62}" type="VALUE">
                      <a:t>[VALUE]</a:t>
                    </a:fld>
                    <a:endParaRPr lang="en-US" altLang="zh-CN" sz="1050" b="0" i="0" u="none" strike="noStrike" baseline="0">
                      <a:latin typeface="Times New Roman" panose="02020603050405020304" charset="0"/>
                      <a:ea typeface="宋体" panose="02010600030101010101" charset="-122"/>
                      <a:cs typeface="+mn-ea"/>
                    </a:endParaRPr>
                  </a:p>
                </c:rich>
              </c:tx>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1000" b="0" i="0" u="none" strike="noStrike" kern="1200" baseline="0">
                      <a:solidFill>
                        <a:schemeClr val="tx1"/>
                      </a:solidFill>
                      <a:latin typeface="+mn-lt"/>
                      <a:ea typeface="+mn-ea"/>
                      <a:cs typeface="+mn-cs"/>
                    </a:defRPr>
                  </a:pPr>
                </a:p>
              </c:txPr>
              <c:showLegendKey val="0"/>
              <c:showVal val="1"/>
              <c:showCatName val="1"/>
              <c:showSerName val="0"/>
              <c:showPercent val="0"/>
              <c:showBubbleSize val="0"/>
              <c:extLst>
                <c:ext xmlns:c15="http://schemas.microsoft.com/office/drawing/2012/chart" uri="{CE6537A1-D6FC-4f65-9D91-7224C49458BB}">
                  <c15:layout>
                    <c:manualLayout>
                      <c:w val="0.230814535764006"/>
                      <c:h val="0.126434949974441"/>
                    </c:manualLayout>
                  </c15:layout>
                </c:ext>
              </c:extLst>
            </c:dLbl>
            <c:spPr>
              <a:noFill/>
              <a:ln>
                <a:noFill/>
              </a:ln>
              <a:effectLst/>
            </c:spPr>
            <c:txPr>
              <a:bodyPr rot="0" spcFirstLastPara="1" vertOverflow="ellipsis" vert="horz" wrap="square" lIns="38100" tIns="19050" rIns="38100" bIns="19050" anchor="ctr" anchorCtr="1">
                <a:spAutoFit/>
              </a:bodyPr>
              <a:lstStyle/>
              <a:p>
                <a:pPr>
                  <a:defRPr lang="zh-CN" sz="1050" b="0" i="0" u="none" strike="noStrike" kern="1200" baseline="0">
                    <a:solidFill>
                      <a:sysClr val="windowText" lastClr="000000"/>
                    </a:solidFill>
                    <a:latin typeface="Times New Roman" panose="02020603050405020304" charset="0"/>
                    <a:ea typeface="宋体" panose="02010600030101010101" charset="-122"/>
                    <a:cs typeface="+mn-cs"/>
                  </a:defRPr>
                </a:pPr>
              </a:p>
            </c:txPr>
            <c:showLegendKey val="0"/>
            <c:showVal val="1"/>
            <c:showCatName val="1"/>
            <c:showSerName val="0"/>
            <c:showPercent val="0"/>
            <c:showBubbleSize val="0"/>
            <c:showLeaderLines val="0"/>
            <c:extLst>
              <c:ext xmlns:c15="http://schemas.microsoft.com/office/drawing/2012/chart" uri="{CE6537A1-D6FC-4f65-9D91-7224C49458BB}">
                <c15:layout/>
                <c15:showLeaderLines val="0"/>
                <c15:leaderLines/>
              </c:ext>
            </c:extLst>
          </c:dLbls>
          <c:cat>
            <c:strRef>
              <c:f>Sheet1!$A$2:$A$5</c:f>
              <c:strCache>
                <c:ptCount val="4"/>
                <c:pt idx="0">
                  <c:v>很满意</c:v>
                </c:pt>
                <c:pt idx="1">
                  <c:v>满意</c:v>
                </c:pt>
                <c:pt idx="2">
                  <c:v>一般</c:v>
                </c:pt>
                <c:pt idx="3">
                  <c:v>不满意</c:v>
                </c:pt>
              </c:strCache>
            </c:strRef>
          </c:cat>
          <c:val>
            <c:numRef>
              <c:f>Sheet1!$B$2:$B$5</c:f>
              <c:numCache>
                <c:formatCode>0.00%</c:formatCode>
                <c:ptCount val="4"/>
                <c:pt idx="0">
                  <c:v>0.4384</c:v>
                </c:pt>
                <c:pt idx="1">
                  <c:v>0.4928</c:v>
                </c:pt>
                <c:pt idx="2">
                  <c:v>0.063</c:v>
                </c:pt>
                <c:pt idx="3">
                  <c:v>0.0057</c:v>
                </c:pt>
              </c:numCache>
            </c:numRef>
          </c:val>
        </c:ser>
        <c:dLbls>
          <c:showLegendKey val="0"/>
          <c:showVal val="0"/>
          <c:showCatName val="0"/>
          <c:showSerName val="0"/>
          <c:showPercent val="0"/>
          <c:showBubbleSize val="0"/>
          <c:showLeaderLines val="0"/>
        </c:dLbls>
        <c:firstSliceAng val="0"/>
        <c:holeSize val="70"/>
      </c:doughnut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sz="1000">
          <a:solidFill>
            <a:schemeClr val="tx1"/>
          </a:solidFill>
        </a:defRPr>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8719414454"/>
          <c:y val="0"/>
          <c:w val="0.684077435526039"/>
          <c:h val="1"/>
        </c:manualLayout>
      </c:layout>
      <c:barChart>
        <c:barDir val="bar"/>
        <c:grouping val="clustered"/>
        <c:varyColors val="0"/>
        <c:ser>
          <c:idx val="0"/>
          <c:order val="0"/>
          <c:tx>
            <c:strRef>
              <c:f>Sheet1!$B$1</c:f>
              <c:strCache>
                <c:ptCount val="1"/>
                <c:pt idx="0">
                  <c:v>系列 1</c:v>
                </c:pt>
              </c:strCache>
            </c:strRef>
          </c:tx>
          <c:spPr>
            <a:solidFill>
              <a:schemeClr val="accent1">
                <a:alpha val="99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1050" b="0" i="0" u="none" strike="noStrike" kern="1200" baseline="0">
                    <a:solidFill>
                      <a:sysClr val="windowText" lastClr="000000">
                        <a:alpha val="80000"/>
                      </a:sysClr>
                    </a:solidFill>
                    <a:latin typeface="Times New Roman" panose="02020603050405020304"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6350" cap="flat" cmpd="sng" algn="ctr">
                      <a:solidFill>
                        <a:schemeClr val="tx1"/>
                      </a:solidFill>
                      <a:prstDash val="solid"/>
                      <a:round/>
                    </a:ln>
                    <a:effectLst/>
                  </c:spPr>
                </c15:leaderLines>
              </c:ext>
            </c:extLst>
          </c:dLbls>
          <c:cat>
            <c:strRef>
              <c:f>Sheet1!$A$2:$A$9</c:f>
              <c:strCache>
                <c:ptCount val="8"/>
                <c:pt idx="0">
                  <c:v>其他</c:v>
                </c:pt>
                <c:pt idx="1">
                  <c:v>组织领导</c:v>
                </c:pt>
                <c:pt idx="2">
                  <c:v>健康仪表</c:v>
                </c:pt>
                <c:pt idx="3">
                  <c:v>创新能力</c:v>
                </c:pt>
                <c:pt idx="4">
                  <c:v>诚信坚韧</c:v>
                </c:pt>
                <c:pt idx="5">
                  <c:v>专业知识和能力</c:v>
                </c:pt>
                <c:pt idx="6">
                  <c:v>团队合作</c:v>
                </c:pt>
                <c:pt idx="7">
                  <c:v>学习能力</c:v>
                </c:pt>
              </c:strCache>
            </c:strRef>
          </c:cat>
          <c:val>
            <c:numRef>
              <c:f>Sheet1!$B$2:$B$9</c:f>
              <c:numCache>
                <c:formatCode>0.00%</c:formatCode>
                <c:ptCount val="8"/>
                <c:pt idx="0">
                  <c:v>0.0522</c:v>
                </c:pt>
                <c:pt idx="1">
                  <c:v>0.1768</c:v>
                </c:pt>
                <c:pt idx="2">
                  <c:v>0.2029</c:v>
                </c:pt>
                <c:pt idx="3">
                  <c:v>0.5333</c:v>
                </c:pt>
                <c:pt idx="4">
                  <c:v>0.6812</c:v>
                </c:pt>
                <c:pt idx="5">
                  <c:v>0.7333</c:v>
                </c:pt>
                <c:pt idx="6">
                  <c:v>0.7884</c:v>
                </c:pt>
                <c:pt idx="7">
                  <c:v>0.8522</c:v>
                </c:pt>
              </c:numCache>
            </c:numRef>
          </c:val>
        </c:ser>
        <c:dLbls>
          <c:showLegendKey val="0"/>
          <c:showVal val="0"/>
          <c:showCatName val="0"/>
          <c:showSerName val="0"/>
          <c:showPercent val="0"/>
          <c:showBubbleSize val="0"/>
        </c:dLbls>
        <c:gapWidth val="100"/>
        <c:axId val="277891504"/>
        <c:axId val="277892064"/>
      </c:barChart>
      <c:catAx>
        <c:axId val="277891504"/>
        <c:scaling>
          <c:orientation val="minMax"/>
        </c:scaling>
        <c:delete val="0"/>
        <c:axPos val="l"/>
        <c:numFmt formatCode="General" sourceLinked="0"/>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1050" b="0" i="0" u="none" strike="noStrike" kern="1200" baseline="0">
                <a:solidFill>
                  <a:sysClr val="windowText" lastClr="000000">
                    <a:alpha val="80000"/>
                  </a:sysClr>
                </a:solidFill>
                <a:latin typeface="+mn-ea"/>
                <a:ea typeface="+mn-ea"/>
                <a:cs typeface="+mn-cs"/>
              </a:defRPr>
            </a:pPr>
          </a:p>
        </c:txPr>
        <c:crossAx val="277892064"/>
        <c:crosses val="autoZero"/>
        <c:auto val="1"/>
        <c:lblAlgn val="ctr"/>
        <c:lblOffset val="100"/>
        <c:noMultiLvlLbl val="0"/>
      </c:catAx>
      <c:valAx>
        <c:axId val="277892064"/>
        <c:scaling>
          <c:orientation val="minMax"/>
          <c:min val="0"/>
        </c:scaling>
        <c:delete val="1"/>
        <c:axPos val="b"/>
        <c:numFmt formatCode="0.00%" sourceLinked="1"/>
        <c:majorTickMark val="in"/>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77891504"/>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lang="zh-CN"/>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5184266350268"/>
          <c:y val="0.0214223879909748"/>
          <c:w val="0.578211858528856"/>
          <c:h val="0.97693938795285"/>
        </c:manualLayout>
      </c:layout>
      <c:barChart>
        <c:barDir val="bar"/>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1050" b="0" i="0" u="none" strike="noStrike" kern="1200" baseline="0">
                    <a:solidFill>
                      <a:sysClr val="windowText" lastClr="000000">
                        <a:alpha val="80000"/>
                      </a:sysClr>
                    </a:solidFill>
                    <a:latin typeface="Times New Roman" panose="02020603050405020304"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6350" cap="flat" cmpd="sng" algn="ctr">
                      <a:solidFill>
                        <a:schemeClr val="tx1"/>
                      </a:solidFill>
                      <a:prstDash val="solid"/>
                      <a:round/>
                    </a:ln>
                    <a:effectLst/>
                  </c:spPr>
                </c15:leaderLines>
              </c:ext>
            </c:extLst>
          </c:dLbls>
          <c:cat>
            <c:strRef>
              <c:f>Sheet1!$A$2:$A$9</c:f>
              <c:strCache>
                <c:ptCount val="8"/>
                <c:pt idx="0">
                  <c:v>其他</c:v>
                </c:pt>
                <c:pt idx="1">
                  <c:v>组织领导</c:v>
                </c:pt>
                <c:pt idx="2">
                  <c:v>健康仪表</c:v>
                </c:pt>
                <c:pt idx="3">
                  <c:v>创新能力</c:v>
                </c:pt>
                <c:pt idx="4">
                  <c:v>专业知识和能力</c:v>
                </c:pt>
                <c:pt idx="5">
                  <c:v>诚信坚韧</c:v>
                </c:pt>
                <c:pt idx="6">
                  <c:v>团队合作</c:v>
                </c:pt>
                <c:pt idx="7">
                  <c:v>学习能力</c:v>
                </c:pt>
              </c:strCache>
            </c:strRef>
          </c:cat>
          <c:val>
            <c:numRef>
              <c:f>Sheet1!$B$2:$B$9</c:f>
              <c:numCache>
                <c:formatCode>0.00%</c:formatCode>
                <c:ptCount val="8"/>
                <c:pt idx="0">
                  <c:v>0.0735</c:v>
                </c:pt>
                <c:pt idx="1">
                  <c:v>0.15</c:v>
                </c:pt>
                <c:pt idx="2">
                  <c:v>0.2</c:v>
                </c:pt>
                <c:pt idx="3">
                  <c:v>0.3971</c:v>
                </c:pt>
                <c:pt idx="4">
                  <c:v>0.5588</c:v>
                </c:pt>
                <c:pt idx="5">
                  <c:v>0.5941</c:v>
                </c:pt>
                <c:pt idx="6">
                  <c:v>0.6647</c:v>
                </c:pt>
                <c:pt idx="7">
                  <c:v>0.7559</c:v>
                </c:pt>
              </c:numCache>
            </c:numRef>
          </c:val>
        </c:ser>
        <c:dLbls>
          <c:showLegendKey val="0"/>
          <c:showVal val="0"/>
          <c:showCatName val="0"/>
          <c:showSerName val="0"/>
          <c:showPercent val="0"/>
          <c:showBubbleSize val="0"/>
        </c:dLbls>
        <c:gapWidth val="100"/>
        <c:axId val="277894304"/>
        <c:axId val="277894864"/>
      </c:barChart>
      <c:catAx>
        <c:axId val="277894304"/>
        <c:scaling>
          <c:orientation val="minMax"/>
        </c:scaling>
        <c:delete val="0"/>
        <c:axPos val="l"/>
        <c:numFmt formatCode="General" sourceLinked="0"/>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1050" b="0" i="0" u="none" strike="noStrike" kern="1200" baseline="0">
                <a:solidFill>
                  <a:sysClr val="windowText" lastClr="000000">
                    <a:alpha val="80000"/>
                  </a:sysClr>
                </a:solidFill>
                <a:latin typeface="+mn-ea"/>
                <a:ea typeface="+mn-ea"/>
                <a:cs typeface="+mn-cs"/>
              </a:defRPr>
            </a:pPr>
          </a:p>
        </c:txPr>
        <c:crossAx val="277894864"/>
        <c:crosses val="autoZero"/>
        <c:auto val="1"/>
        <c:lblAlgn val="ctr"/>
        <c:lblOffset val="100"/>
        <c:noMultiLvlLbl val="0"/>
      </c:catAx>
      <c:valAx>
        <c:axId val="277894864"/>
        <c:scaling>
          <c:orientation val="minMax"/>
          <c:min val="0"/>
        </c:scaling>
        <c:delete val="1"/>
        <c:axPos val="b"/>
        <c:numFmt formatCode="0.00%" sourceLinked="1"/>
        <c:majorTickMark val="in"/>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77894304"/>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lang="zh-CN"/>
      </a:p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5633704084061"/>
          <c:y val="0"/>
          <c:w val="0.603190286145739"/>
          <c:h val="1"/>
        </c:manualLayout>
      </c:layout>
      <c:barChart>
        <c:barDir val="bar"/>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1050" b="0" i="0" u="none" strike="noStrike" kern="1200" baseline="0">
                    <a:solidFill>
                      <a:sysClr val="windowText" lastClr="000000">
                        <a:alpha val="80000"/>
                      </a:sysClr>
                    </a:solidFill>
                    <a:latin typeface="Times New Roman" panose="02020603050405020304"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6350" cap="flat" cmpd="sng" algn="ctr">
                      <a:solidFill>
                        <a:schemeClr val="tx1"/>
                      </a:solidFill>
                      <a:prstDash val="solid"/>
                      <a:round/>
                    </a:ln>
                    <a:effectLst/>
                  </c:spPr>
                </c15:leaderLines>
              </c:ext>
            </c:extLst>
          </c:dLbls>
          <c:cat>
            <c:strRef>
              <c:f>Sheet1!$A$2:$A$9</c:f>
              <c:strCache>
                <c:ptCount val="8"/>
                <c:pt idx="0">
                  <c:v>其他</c:v>
                </c:pt>
                <c:pt idx="1">
                  <c:v>健康仪表</c:v>
                </c:pt>
                <c:pt idx="2">
                  <c:v>诚信坚韧</c:v>
                </c:pt>
                <c:pt idx="3">
                  <c:v>学习能力</c:v>
                </c:pt>
                <c:pt idx="4">
                  <c:v>团队合作</c:v>
                </c:pt>
                <c:pt idx="5">
                  <c:v>组织领导</c:v>
                </c:pt>
                <c:pt idx="6">
                  <c:v>专业知识和能力</c:v>
                </c:pt>
                <c:pt idx="7">
                  <c:v>创新能力</c:v>
                </c:pt>
              </c:strCache>
            </c:strRef>
          </c:cat>
          <c:val>
            <c:numRef>
              <c:f>Sheet1!$B$2:$B$9</c:f>
              <c:numCache>
                <c:formatCode>0.00%</c:formatCode>
                <c:ptCount val="8"/>
                <c:pt idx="0">
                  <c:v>0.194</c:v>
                </c:pt>
                <c:pt idx="1">
                  <c:v>0.0985</c:v>
                </c:pt>
                <c:pt idx="2">
                  <c:v>0.2388</c:v>
                </c:pt>
                <c:pt idx="3">
                  <c:v>0.2836</c:v>
                </c:pt>
                <c:pt idx="4">
                  <c:v>0.3015</c:v>
                </c:pt>
                <c:pt idx="5">
                  <c:v>0.3731</c:v>
                </c:pt>
                <c:pt idx="6">
                  <c:v>0.394</c:v>
                </c:pt>
                <c:pt idx="7">
                  <c:v>0.4716</c:v>
                </c:pt>
              </c:numCache>
            </c:numRef>
          </c:val>
        </c:ser>
        <c:dLbls>
          <c:showLegendKey val="0"/>
          <c:showVal val="0"/>
          <c:showCatName val="0"/>
          <c:showSerName val="0"/>
          <c:showPercent val="0"/>
          <c:showBubbleSize val="0"/>
        </c:dLbls>
        <c:gapWidth val="100"/>
        <c:axId val="277896544"/>
        <c:axId val="277897104"/>
      </c:barChart>
      <c:catAx>
        <c:axId val="277896544"/>
        <c:scaling>
          <c:orientation val="minMax"/>
        </c:scaling>
        <c:delete val="0"/>
        <c:axPos val="l"/>
        <c:numFmt formatCode="General" sourceLinked="0"/>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1050" b="0" i="0" u="none" strike="noStrike" kern="1200" baseline="0">
                <a:solidFill>
                  <a:sysClr val="windowText" lastClr="000000">
                    <a:alpha val="80000"/>
                  </a:sysClr>
                </a:solidFill>
                <a:latin typeface="+mn-ea"/>
                <a:ea typeface="+mn-ea"/>
                <a:cs typeface="+mn-cs"/>
              </a:defRPr>
            </a:pPr>
          </a:p>
        </c:txPr>
        <c:crossAx val="277897104"/>
        <c:crosses val="autoZero"/>
        <c:auto val="1"/>
        <c:lblAlgn val="ctr"/>
        <c:lblOffset val="100"/>
        <c:noMultiLvlLbl val="0"/>
      </c:catAx>
      <c:valAx>
        <c:axId val="277897104"/>
        <c:scaling>
          <c:orientation val="minMax"/>
          <c:min val="0"/>
        </c:scaling>
        <c:delete val="1"/>
        <c:axPos val="b"/>
        <c:numFmt formatCode="0.00%" sourceLinked="1"/>
        <c:majorTickMark val="in"/>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77896544"/>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lang="zh-CN"/>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545229381539"/>
          <c:y val="0.160145746487571"/>
          <c:w val="0.772566818232228"/>
          <c:h val="0.7054058909303"/>
        </c:manualLayout>
      </c:layout>
      <c:barChart>
        <c:barDir val="col"/>
        <c:grouping val="clustered"/>
        <c:varyColors val="0"/>
        <c:ser>
          <c:idx val="1"/>
          <c:order val="1"/>
          <c:tx>
            <c:strRef>
              <c:f>Sheet1!$C$1</c:f>
              <c:strCache>
                <c:ptCount val="1"/>
                <c:pt idx="0">
                  <c:v>毕业生规模</c:v>
                </c:pt>
              </c:strCache>
            </c:strRef>
          </c:tx>
          <c:spPr>
            <a:solidFill>
              <a:srgbClr val="0070C0"/>
            </a:solidFill>
            <a:ln>
              <a:noFill/>
            </a:ln>
            <a:effectLst/>
          </c:spPr>
          <c:invertIfNegative val="0"/>
          <c:dPt>
            <c:idx val="0"/>
            <c:invertIfNegative val="0"/>
            <c:bubble3D val="0"/>
            <c:spPr>
              <a:solidFill>
                <a:srgbClr val="0070C0"/>
              </a:solidFill>
              <a:ln>
                <a:noFill/>
              </a:ln>
              <a:effectLst/>
            </c:spPr>
          </c:dPt>
          <c:dPt>
            <c:idx val="1"/>
            <c:invertIfNegative val="0"/>
            <c:bubble3D val="0"/>
            <c:spPr>
              <a:solidFill>
                <a:srgbClr val="0070C0"/>
              </a:solidFill>
              <a:ln>
                <a:noFill/>
              </a:ln>
              <a:effectLst/>
            </c:spPr>
          </c:dPt>
          <c:dPt>
            <c:idx val="2"/>
            <c:invertIfNegative val="0"/>
            <c:bubble3D val="0"/>
          </c:dPt>
          <c:dLbls>
            <c:dLbl>
              <c:idx val="0"/>
              <c:layout>
                <c:manualLayout>
                  <c:x val="0"/>
                  <c:y val="0.09934640522875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63013980252744e-6"/>
                  <c:y val="0.252950151298715"/>
                </c:manualLayout>
              </c:layout>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1050" b="0" i="0" u="none" strike="noStrike" kern="1200" baseline="0">
                      <a:solidFill>
                        <a:schemeClr val="bg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extLst>
                <c:ext xmlns:c15="http://schemas.microsoft.com/office/drawing/2012/chart" uri="{CE6537A1-D6FC-4f65-9D91-7224C49458BB}">
                  <c15:layout>
                    <c:manualLayout>
                      <c:w val="0.0727887609838491"/>
                      <c:h val="0.361896338964686"/>
                    </c:manualLayout>
                  </c15:layout>
                </c:ext>
              </c:extLst>
            </c:dLbl>
            <c:dLbl>
              <c:idx val="2"/>
              <c:layout>
                <c:manualLayout>
                  <c:x val="-8.60709931809802e-17"/>
                  <c:y val="0.11503267973856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1050" b="0" i="0" u="none" strike="noStrike" kern="1200" baseline="0">
                    <a:solidFill>
                      <a:schemeClr val="bg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2017届</c:v>
                </c:pt>
                <c:pt idx="1">
                  <c:v>2018届</c:v>
                </c:pt>
                <c:pt idx="2">
                  <c:v>2019届</c:v>
                </c:pt>
              </c:strCache>
            </c:strRef>
          </c:cat>
          <c:val>
            <c:numRef>
              <c:f>Sheet1!$C$2:$C$4</c:f>
              <c:numCache>
                <c:formatCode>General</c:formatCode>
                <c:ptCount val="3"/>
                <c:pt idx="0">
                  <c:v>4991</c:v>
                </c:pt>
                <c:pt idx="1">
                  <c:v>5430</c:v>
                </c:pt>
                <c:pt idx="2">
                  <c:v>5111</c:v>
                </c:pt>
              </c:numCache>
            </c:numRef>
          </c:val>
        </c:ser>
        <c:dLbls>
          <c:showLegendKey val="0"/>
          <c:showVal val="0"/>
          <c:showCatName val="0"/>
          <c:showSerName val="0"/>
          <c:showPercent val="0"/>
          <c:showBubbleSize val="0"/>
        </c:dLbls>
        <c:gapWidth val="219"/>
        <c:axId val="277900464"/>
        <c:axId val="277899904"/>
      </c:barChart>
      <c:lineChart>
        <c:grouping val="standard"/>
        <c:varyColors val="0"/>
        <c:ser>
          <c:idx val="0"/>
          <c:order val="0"/>
          <c:tx>
            <c:strRef>
              <c:f>Sheet1!$B$1</c:f>
              <c:strCache>
                <c:ptCount val="1"/>
                <c:pt idx="0">
                  <c:v>就业率</c:v>
                </c:pt>
              </c:strCache>
            </c:strRef>
          </c:tx>
          <c:spPr>
            <a:ln w="28575" cap="rnd">
              <a:solidFill>
                <a:schemeClr val="accent2"/>
              </a:solidFill>
              <a:round/>
            </a:ln>
            <a:effectLst/>
          </c:spPr>
          <c:marker>
            <c:symbol val="circle"/>
            <c:size val="32"/>
            <c:spPr>
              <a:solidFill>
                <a:schemeClr val="bg1"/>
              </a:solidFill>
              <a:ln w="9525">
                <a:solidFill>
                  <a:schemeClr val="accent2"/>
                </a:solidFill>
                <a:prstDash val="solid"/>
              </a:ln>
              <a:effectLst/>
            </c:spPr>
          </c:marker>
          <c:dPt>
            <c:idx val="1"/>
            <c:marker>
              <c:symbol val="circle"/>
              <c:size val="32"/>
              <c:spPr>
                <a:solidFill>
                  <a:schemeClr val="bg1"/>
                </a:solidFill>
                <a:ln w="9525">
                  <a:solidFill>
                    <a:schemeClr val="accent2"/>
                  </a:solidFill>
                  <a:prstDash val="solid"/>
                </a:ln>
                <a:effectLst/>
              </c:spPr>
            </c:marker>
            <c:bubble3D val="0"/>
            <c:spPr>
              <a:ln w="28575" cap="rnd">
                <a:solidFill>
                  <a:schemeClr val="accent2"/>
                </a:solidFill>
                <a:prstDash val="solid"/>
                <a:round/>
              </a:ln>
              <a:effectLst/>
            </c:spPr>
          </c:dPt>
          <c:dPt>
            <c:idx val="2"/>
            <c:marker>
              <c:symbol val="circle"/>
              <c:size val="32"/>
              <c:spPr>
                <a:solidFill>
                  <a:schemeClr val="bg1"/>
                </a:solidFill>
                <a:ln w="9525">
                  <a:solidFill>
                    <a:schemeClr val="accent2"/>
                  </a:solidFill>
                  <a:prstDash val="solid"/>
                </a:ln>
                <a:effectLst/>
              </c:spPr>
            </c:marker>
            <c:bubble3D val="0"/>
            <c:spPr>
              <a:ln w="28575" cap="rnd">
                <a:solidFill>
                  <a:schemeClr val="accent2"/>
                </a:solidFill>
                <a:prstDash val="solid"/>
                <a:round/>
              </a:ln>
              <a:effectLst/>
            </c:spPr>
          </c:dPt>
          <c:dLbls>
            <c:spPr>
              <a:noFill/>
              <a:ln>
                <a:noFill/>
              </a:ln>
              <a:effectLst/>
            </c:spPr>
            <c:txPr>
              <a:bodyPr rot="0" spcFirstLastPara="1" vertOverflow="ellipsis" vert="horz" wrap="square" lIns="38100" tIns="19050" rIns="38100" bIns="19050" anchor="ctr" anchorCtr="1">
                <a:spAutoFit/>
              </a:bodyPr>
              <a:lstStyle/>
              <a:p>
                <a:pPr>
                  <a:defRPr lang="zh-CN" sz="105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Sheet1!$A$2:$A$4</c:f>
              <c:strCache>
                <c:ptCount val="3"/>
                <c:pt idx="0">
                  <c:v>2017届</c:v>
                </c:pt>
                <c:pt idx="1">
                  <c:v>2018届</c:v>
                </c:pt>
                <c:pt idx="2">
                  <c:v>2019届</c:v>
                </c:pt>
              </c:strCache>
            </c:strRef>
          </c:cat>
          <c:val>
            <c:numRef>
              <c:f>Sheet1!$B$2:$B$4</c:f>
              <c:numCache>
                <c:formatCode>0.00%</c:formatCode>
                <c:ptCount val="3"/>
                <c:pt idx="0">
                  <c:v>0.9621</c:v>
                </c:pt>
                <c:pt idx="1">
                  <c:v>0.9687</c:v>
                </c:pt>
                <c:pt idx="2">
                  <c:v>0.9642</c:v>
                </c:pt>
              </c:numCache>
            </c:numRef>
          </c:val>
          <c:smooth val="1"/>
        </c:ser>
        <c:dLbls>
          <c:showLegendKey val="0"/>
          <c:showVal val="0"/>
          <c:showCatName val="0"/>
          <c:showSerName val="0"/>
          <c:showPercent val="0"/>
          <c:showBubbleSize val="0"/>
        </c:dLbls>
        <c:marker val="1"/>
        <c:smooth val="1"/>
        <c:axId val="277901584"/>
        <c:axId val="277901024"/>
      </c:lineChart>
      <c:catAx>
        <c:axId val="277900464"/>
        <c:scaling>
          <c:orientation val="minMax"/>
        </c:scaling>
        <c:delete val="0"/>
        <c:axPos val="b"/>
        <c:numFmt formatCode="General" sourceLinked="1"/>
        <c:majorTickMark val="none"/>
        <c:minorTickMark val="none"/>
        <c:tickLblPos val="nextTo"/>
        <c:spPr>
          <a:noFill/>
          <a:ln w="19050" cap="flat" cmpd="sng" algn="ctr">
            <a:solidFill>
              <a:schemeClr val="accent1"/>
            </a:solidFill>
            <a:round/>
          </a:ln>
          <a:effectLst/>
        </c:spPr>
        <c:txPr>
          <a:bodyPr rot="-60000000" spcFirstLastPara="1" vertOverflow="ellipsis" vert="horz" wrap="square" anchor="ctr" anchorCtr="1"/>
          <a:lstStyle/>
          <a:p>
            <a:pPr>
              <a:defRPr lang="zh-CN" sz="1050" b="0" i="0" u="none" strike="noStrike" kern="1200" baseline="0">
                <a:solidFill>
                  <a:sysClr val="windowText" lastClr="000000"/>
                </a:solidFill>
                <a:latin typeface="Times New Roman" panose="02020603050405020304" charset="0"/>
                <a:ea typeface="+mn-ea"/>
                <a:cs typeface="+mn-cs"/>
              </a:defRPr>
            </a:pPr>
          </a:p>
        </c:txPr>
        <c:crossAx val="277899904"/>
        <c:crosses val="autoZero"/>
        <c:auto val="1"/>
        <c:lblAlgn val="ctr"/>
        <c:lblOffset val="100"/>
        <c:noMultiLvlLbl val="0"/>
      </c:catAx>
      <c:valAx>
        <c:axId val="277899904"/>
        <c:scaling>
          <c:orientation val="minMax"/>
          <c:max val="7500"/>
          <c:min val="0"/>
        </c:scaling>
        <c:delete val="0"/>
        <c:axPos val="r"/>
        <c:numFmt formatCode="0.00_);[Red]\(0.00\)" sourceLinked="0"/>
        <c:majorTickMark val="in"/>
        <c:minorTickMark val="none"/>
        <c:tickLblPos val="nextTo"/>
        <c:spPr>
          <a:noFill/>
          <a:ln w="19050">
            <a:solidFill>
              <a:schemeClr val="accent1"/>
            </a:solid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277900464"/>
        <c:crosses val="max"/>
        <c:crossBetween val="between"/>
        <c:majorUnit val="1500"/>
      </c:valAx>
      <c:catAx>
        <c:axId val="277901584"/>
        <c:scaling>
          <c:orientation val="minMax"/>
        </c:scaling>
        <c:delete val="1"/>
        <c:axPos val="t"/>
        <c:numFmt formatCode="General"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277901024"/>
        <c:crosses val="max"/>
        <c:auto val="1"/>
        <c:lblAlgn val="ctr"/>
        <c:lblOffset val="100"/>
        <c:noMultiLvlLbl val="0"/>
      </c:catAx>
      <c:valAx>
        <c:axId val="277901024"/>
        <c:scaling>
          <c:orientation val="minMax"/>
          <c:min val="0"/>
        </c:scaling>
        <c:delete val="0"/>
        <c:axPos val="l"/>
        <c:numFmt formatCode="0.00%" sourceLinked="1"/>
        <c:majorTickMark val="in"/>
        <c:minorTickMark val="none"/>
        <c:tickLblPos val="nextTo"/>
        <c:spPr>
          <a:noFill/>
          <a:ln w="19050">
            <a:solidFill>
              <a:schemeClr val="accent1"/>
            </a:solid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277901584"/>
        <c:crosses val="autoZero"/>
        <c:crossBetween val="between"/>
        <c:majorUnit val="0.2"/>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a:solidFill>
            <a:sysClr val="windowText" lastClr="000000"/>
          </a:solidFill>
        </a:defRPr>
      </a:p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212732699251121"/>
          <c:y val="0.168928082754725"/>
          <c:w val="0.960659996586543"/>
          <c:h val="0.707572807441998"/>
        </c:manualLayout>
      </c:layout>
      <c:barChart>
        <c:barDir val="col"/>
        <c:grouping val="clustered"/>
        <c:varyColors val="0"/>
        <c:ser>
          <c:idx val="0"/>
          <c:order val="0"/>
          <c:tx>
            <c:strRef>
              <c:f>Sheet3!$B$2</c:f>
              <c:strCache>
                <c:ptCount val="1"/>
                <c:pt idx="0">
                  <c:v>单位就业</c:v>
                </c:pt>
              </c:strCache>
            </c:strRef>
          </c:tx>
          <c:spPr>
            <a:solidFill>
              <a:schemeClr val="accent1"/>
            </a:solidFill>
            <a:ln>
              <a:noFill/>
            </a:ln>
            <a:effectLst/>
          </c:spPr>
          <c:invertIfNegative val="0"/>
          <c:dPt>
            <c:idx val="2"/>
            <c:invertIfNegative val="0"/>
            <c:bubble3D val="0"/>
          </c:dPt>
          <c:dLbls>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Sheet3!$A$3:$A$5</c:f>
              <c:strCache>
                <c:ptCount val="3"/>
                <c:pt idx="0">
                  <c:v>2017届</c:v>
                </c:pt>
                <c:pt idx="1">
                  <c:v>2018届</c:v>
                </c:pt>
                <c:pt idx="2">
                  <c:v>2019届</c:v>
                </c:pt>
              </c:strCache>
            </c:strRef>
          </c:cat>
          <c:val>
            <c:numRef>
              <c:f>Sheet3!$B$3:$B$5</c:f>
              <c:numCache>
                <c:formatCode>0.00%</c:formatCode>
                <c:ptCount val="3"/>
                <c:pt idx="0">
                  <c:v>0.8613</c:v>
                </c:pt>
                <c:pt idx="1">
                  <c:v>0.8618</c:v>
                </c:pt>
                <c:pt idx="2">
                  <c:v>0.8417</c:v>
                </c:pt>
              </c:numCache>
            </c:numRef>
          </c:val>
        </c:ser>
        <c:ser>
          <c:idx val="1"/>
          <c:order val="1"/>
          <c:tx>
            <c:strRef>
              <c:f>Sheet3!$C$2</c:f>
              <c:strCache>
                <c:ptCount val="1"/>
                <c:pt idx="0">
                  <c:v>升学(出国、出境)</c:v>
                </c:pt>
              </c:strCache>
            </c:strRef>
          </c:tx>
          <c:spPr>
            <a:solidFill>
              <a:schemeClr val="accent2"/>
            </a:solidFill>
            <a:ln>
              <a:noFill/>
            </a:ln>
            <a:effectLst/>
          </c:spPr>
          <c:invertIfNegative val="0"/>
          <c:dPt>
            <c:idx val="0"/>
            <c:invertIfNegative val="0"/>
            <c:bubble3D val="0"/>
          </c:dPt>
          <c:dPt>
            <c:idx val="1"/>
            <c:invertIfNegative val="0"/>
            <c:bubble3D val="0"/>
          </c:dPt>
          <c:dPt>
            <c:idx val="2"/>
            <c:invertIfNegative val="0"/>
            <c:bubble3D val="0"/>
          </c:dPt>
          <c:dLbls>
            <c:dLbl>
              <c:idx val="0"/>
              <c:layout>
                <c:manualLayout>
                  <c:x val="0.00423545475093293"/>
                  <c:y val="-0.024838406393230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423545475093293"/>
                  <c:y val="-0.004937908880792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423545475093285"/>
                  <c:y val="-0.024838406393230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Sheet3!$A$3:$A$5</c:f>
              <c:strCache>
                <c:ptCount val="3"/>
                <c:pt idx="0">
                  <c:v>2017届</c:v>
                </c:pt>
                <c:pt idx="1">
                  <c:v>2018届</c:v>
                </c:pt>
                <c:pt idx="2">
                  <c:v>2019届</c:v>
                </c:pt>
              </c:strCache>
            </c:strRef>
          </c:cat>
          <c:val>
            <c:numRef>
              <c:f>Sheet3!$C$3:$C$5</c:f>
              <c:numCache>
                <c:formatCode>0.00%</c:formatCode>
                <c:ptCount val="3"/>
                <c:pt idx="0">
                  <c:v>0.098</c:v>
                </c:pt>
                <c:pt idx="1">
                  <c:v>0.1113</c:v>
                </c:pt>
                <c:pt idx="2">
                  <c:v>0.1163</c:v>
                </c:pt>
              </c:numCache>
            </c:numRef>
          </c:val>
        </c:ser>
        <c:ser>
          <c:idx val="2"/>
          <c:order val="2"/>
          <c:tx>
            <c:strRef>
              <c:f>Sheet3!$D$2</c:f>
              <c:strCache>
                <c:ptCount val="1"/>
                <c:pt idx="0">
                  <c:v>灵活就业</c:v>
                </c:pt>
              </c:strCache>
            </c:strRef>
          </c:tx>
          <c:spPr>
            <a:solidFill>
              <a:schemeClr val="accent3"/>
            </a:solidFill>
            <a:ln>
              <a:noFill/>
            </a:ln>
            <a:effectLst/>
          </c:spPr>
          <c:invertIfNegative val="0"/>
          <c:dLbls>
            <c:dLbl>
              <c:idx val="0"/>
              <c:layout>
                <c:manualLayout>
                  <c:x val="0.00423545475093293"/>
                  <c:y val="-0.0049379088807930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423545475093293"/>
                  <c:y val="0.0099874642535354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423545475093293"/>
                  <c:y val="0.0099874642535353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Sheet3!$A$3:$A$5</c:f>
              <c:strCache>
                <c:ptCount val="3"/>
                <c:pt idx="0">
                  <c:v>2017届</c:v>
                </c:pt>
                <c:pt idx="1">
                  <c:v>2018届</c:v>
                </c:pt>
                <c:pt idx="2">
                  <c:v>2019届</c:v>
                </c:pt>
              </c:strCache>
            </c:strRef>
          </c:cat>
          <c:val>
            <c:numRef>
              <c:f>Sheet3!$D$3:$D$5</c:f>
              <c:numCache>
                <c:formatCode>0.00%</c:formatCode>
                <c:ptCount val="3"/>
                <c:pt idx="0">
                  <c:v>0.0028</c:v>
                </c:pt>
                <c:pt idx="1">
                  <c:v>0.0037</c:v>
                </c:pt>
                <c:pt idx="2">
                  <c:v>0.0033</c:v>
                </c:pt>
              </c:numCache>
            </c:numRef>
          </c:val>
        </c:ser>
        <c:dLbls>
          <c:showLegendKey val="0"/>
          <c:showVal val="0"/>
          <c:showCatName val="0"/>
          <c:showSerName val="0"/>
          <c:showPercent val="0"/>
          <c:showBubbleSize val="0"/>
        </c:dLbls>
        <c:gapWidth val="150"/>
        <c:overlap val="-10"/>
        <c:axId val="640916656"/>
        <c:axId val="640914976"/>
      </c:barChart>
      <c:catAx>
        <c:axId val="640916656"/>
        <c:scaling>
          <c:orientation val="minMax"/>
        </c:scaling>
        <c:delete val="0"/>
        <c:axPos val="b"/>
        <c:numFmt formatCode="General" sourceLinked="1"/>
        <c:majorTickMark val="none"/>
        <c:minorTickMark val="none"/>
        <c:tickLblPos val="nextTo"/>
        <c:spPr>
          <a:noFill/>
          <a:ln w="15875" cap="flat" cmpd="sng" algn="ctr">
            <a:solidFill>
              <a:srgbClr val="00B0F0"/>
            </a:solidFill>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Times New Roman" panose="02020603050405020304" charset="0"/>
                <a:ea typeface="+mn-ea"/>
                <a:cs typeface="Times New Roman" panose="02020603050405020304" charset="0"/>
              </a:defRPr>
            </a:pPr>
          </a:p>
        </c:txPr>
        <c:crossAx val="640914976"/>
        <c:crosses val="autoZero"/>
        <c:auto val="1"/>
        <c:lblAlgn val="ctr"/>
        <c:lblOffset val="100"/>
        <c:noMultiLvlLbl val="0"/>
      </c:catAx>
      <c:valAx>
        <c:axId val="640914976"/>
        <c:scaling>
          <c:orientation val="minMax"/>
          <c:max val="1"/>
          <c:min val="0"/>
        </c:scaling>
        <c:delete val="1"/>
        <c:axPos val="l"/>
        <c:numFmt formatCode="0.00%" sourceLinked="1"/>
        <c:majorTickMark val="in"/>
        <c:minorTickMark val="none"/>
        <c:tickLblPos val="nextTo"/>
        <c:txPr>
          <a:bodyPr rot="-60000000" spcFirstLastPara="0" vertOverflow="ellipsis" vert="horz" wrap="square" anchor="ctr" anchorCtr="1"/>
          <a:lstStyle/>
          <a:p>
            <a:pPr>
              <a:defRPr lang="zh-CN" sz="1000" b="0" i="0" u="none" strike="noStrike" kern="1200" baseline="0">
                <a:solidFill>
                  <a:sysClr val="windowText" lastClr="000000"/>
                </a:solidFill>
                <a:latin typeface="Times New Roman" panose="02020603050405020304" charset="0"/>
                <a:ea typeface="+mn-ea"/>
                <a:cs typeface="Times New Roman" panose="02020603050405020304" charset="0"/>
              </a:defRPr>
            </a:pPr>
          </a:p>
        </c:txPr>
        <c:crossAx val="640916656"/>
        <c:crosses val="autoZero"/>
        <c:crossBetween val="between"/>
        <c:majorUnit val="0.1"/>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lang="zh-CN" sz="1000" b="0" i="0" u="none" strike="noStrike" kern="1200" baseline="0">
              <a:solidFill>
                <a:sysClr val="windowText" lastClr="000000"/>
              </a:solidFill>
              <a:latin typeface="Times New Roman" panose="02020603050405020304" charset="0"/>
              <a:ea typeface="+mn-ea"/>
              <a:cs typeface="Times New Roman" panose="02020603050405020304" charset="0"/>
            </a:defRPr>
          </a:pPr>
        </a:p>
      </c:txPr>
    </c:legend>
    <c:plotVisOnly val="1"/>
    <c:dispBlanksAs val="gap"/>
    <c:showDLblsOverMax val="0"/>
  </c:chart>
  <c:spPr>
    <a:solidFill>
      <a:schemeClr val="bg1"/>
    </a:solidFill>
    <a:ln w="9525" cap="flat" cmpd="sng" algn="ctr">
      <a:noFill/>
      <a:round/>
    </a:ln>
    <a:effectLst/>
  </c:spPr>
  <c:txPr>
    <a:bodyPr/>
    <a:lstStyle/>
    <a:p>
      <a:pPr>
        <a:defRPr lang="zh-CN" sz="1000">
          <a:solidFill>
            <a:sysClr val="windowText" lastClr="000000"/>
          </a:solidFill>
          <a:latin typeface="Times New Roman" panose="02020603050405020304" charset="0"/>
          <a:cs typeface="Times New Roman" panose="02020603050405020304" charset="0"/>
        </a:defRPr>
      </a:p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18383423990785"/>
          <c:y val="0.171543102566725"/>
          <c:w val="0.84408756197142"/>
          <c:h val="0.667464566929134"/>
        </c:manualLayout>
      </c:layout>
      <c:barChart>
        <c:barDir val="col"/>
        <c:grouping val="clustered"/>
        <c:varyColors val="0"/>
        <c:ser>
          <c:idx val="0"/>
          <c:order val="0"/>
          <c:tx>
            <c:strRef>
              <c:f>Sheet1!$B$1</c:f>
              <c:strCache>
                <c:ptCount val="1"/>
                <c:pt idx="0">
                  <c:v>2017届</c:v>
                </c:pt>
              </c:strCache>
            </c:strRef>
          </c:tx>
          <c:spPr>
            <a:solidFill>
              <a:schemeClr val="accent1"/>
            </a:solidFill>
            <a:ln>
              <a:noFill/>
            </a:ln>
            <a:effectLst/>
          </c:spPr>
          <c:invertIfNegative val="0"/>
          <c:dPt>
            <c:idx val="1"/>
            <c:invertIfNegative val="0"/>
            <c:bubble3D val="0"/>
          </c:dPt>
          <c:dLbls>
            <c:dLbl>
              <c:idx val="0"/>
              <c:layout>
                <c:manualLayout>
                  <c:x val="-0.00231481481481481"/>
                  <c:y val="0.015432278512355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0100394897446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省内就业</c:v>
                </c:pt>
                <c:pt idx="1">
                  <c:v>省外就业</c:v>
                </c:pt>
              </c:strCache>
            </c:strRef>
          </c:cat>
          <c:val>
            <c:numRef>
              <c:f>Sheet1!$B$2:$B$3</c:f>
              <c:numCache>
                <c:formatCode>0.00%</c:formatCode>
                <c:ptCount val="2"/>
                <c:pt idx="0">
                  <c:v>0.6079</c:v>
                </c:pt>
                <c:pt idx="1">
                  <c:v>0.3921</c:v>
                </c:pt>
              </c:numCache>
            </c:numRef>
          </c:val>
        </c:ser>
        <c:ser>
          <c:idx val="1"/>
          <c:order val="1"/>
          <c:tx>
            <c:strRef>
              <c:f>Sheet1!$C$1</c:f>
              <c:strCache>
                <c:ptCount val="1"/>
                <c:pt idx="0">
                  <c:v>2018届</c:v>
                </c:pt>
              </c:strCache>
            </c:strRef>
          </c:tx>
          <c:spPr>
            <a:solidFill>
              <a:schemeClr val="accent2"/>
            </a:solidFill>
            <a:ln>
              <a:noFill/>
            </a:ln>
            <a:effectLst/>
          </c:spPr>
          <c:invertIfNegative val="0"/>
          <c:dLbls>
            <c:dLbl>
              <c:idx val="1"/>
              <c:layout>
                <c:manualLayout>
                  <c:x val="0"/>
                  <c:y val="0.000625959490912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Sheet1!$A$2:$A$3</c:f>
              <c:strCache>
                <c:ptCount val="2"/>
                <c:pt idx="0">
                  <c:v>省内就业</c:v>
                </c:pt>
                <c:pt idx="1">
                  <c:v>省外就业</c:v>
                </c:pt>
              </c:strCache>
            </c:strRef>
          </c:cat>
          <c:val>
            <c:numRef>
              <c:f>Sheet1!$C$2:$C$3</c:f>
              <c:numCache>
                <c:formatCode>0.00%</c:formatCode>
                <c:ptCount val="2"/>
                <c:pt idx="0">
                  <c:v>0.6786</c:v>
                </c:pt>
                <c:pt idx="1">
                  <c:v>0.3214</c:v>
                </c:pt>
              </c:numCache>
            </c:numRef>
          </c:val>
        </c:ser>
        <c:ser>
          <c:idx val="2"/>
          <c:order val="2"/>
          <c:tx>
            <c:strRef>
              <c:f>Sheet1!$D$1</c:f>
              <c:strCache>
                <c:ptCount val="1"/>
                <c:pt idx="0">
                  <c:v>2019届</c:v>
                </c:pt>
              </c:strCache>
            </c:strRef>
          </c:tx>
          <c:spPr>
            <a:solidFill>
              <a:schemeClr val="accent3"/>
            </a:solidFill>
            <a:ln>
              <a:noFill/>
            </a:ln>
            <a:effectLst/>
          </c:spPr>
          <c:invertIfNegative val="0"/>
          <c:dLbls>
            <c:dLbl>
              <c:idx val="0"/>
              <c:layout>
                <c:manualLayout>
                  <c:x val="0"/>
                  <c:y val="-0.021834893279849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Sheet1!$A$2:$A$3</c:f>
              <c:strCache>
                <c:ptCount val="2"/>
                <c:pt idx="0">
                  <c:v>省内就业</c:v>
                </c:pt>
                <c:pt idx="1">
                  <c:v>省外就业</c:v>
                </c:pt>
              </c:strCache>
            </c:strRef>
          </c:cat>
          <c:val>
            <c:numRef>
              <c:f>Sheet1!$D$2:$D$3</c:f>
              <c:numCache>
                <c:formatCode>0.00%</c:formatCode>
                <c:ptCount val="2"/>
                <c:pt idx="0">
                  <c:v>0.7303</c:v>
                </c:pt>
                <c:pt idx="1">
                  <c:v>0.2697</c:v>
                </c:pt>
              </c:numCache>
            </c:numRef>
          </c:val>
        </c:ser>
        <c:dLbls>
          <c:showLegendKey val="0"/>
          <c:showVal val="1"/>
          <c:showCatName val="0"/>
          <c:showSerName val="0"/>
          <c:showPercent val="0"/>
          <c:showBubbleSize val="0"/>
        </c:dLbls>
        <c:gapWidth val="219"/>
        <c:overlap val="-27"/>
        <c:axId val="279532800"/>
        <c:axId val="279533360"/>
      </c:barChart>
      <c:catAx>
        <c:axId val="279532800"/>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279533360"/>
        <c:crosses val="autoZero"/>
        <c:auto val="1"/>
        <c:lblAlgn val="ctr"/>
        <c:lblOffset val="100"/>
        <c:noMultiLvlLbl val="0"/>
      </c:catAx>
      <c:valAx>
        <c:axId val="279533360"/>
        <c:scaling>
          <c:orientation val="minMax"/>
          <c:max val="1"/>
          <c:min val="0"/>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279532800"/>
        <c:crosses val="autoZero"/>
        <c:crossBetween val="between"/>
        <c:majorUnit val="1000"/>
      </c:valAx>
      <c:spPr>
        <a:noFill/>
        <a:ln>
          <a:noFill/>
        </a:ln>
        <a:effectLst/>
      </c:spPr>
    </c:plotArea>
    <c:legend>
      <c:legendPos val="b"/>
      <c:layout>
        <c:manualLayout>
          <c:xMode val="edge"/>
          <c:yMode val="edge"/>
          <c:x val="0.349167815077497"/>
          <c:y val="0.00584405607835601"/>
          <c:w val="0.338428586112729"/>
          <c:h val="0.133000182111693"/>
        </c:manualLayout>
      </c:layout>
      <c:overlay val="0"/>
      <c:spPr>
        <a:noFill/>
        <a:ln>
          <a:noFill/>
        </a:ln>
        <a:effectLst/>
      </c:spPr>
      <c:txPr>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legend>
    <c:plotVisOnly val="1"/>
    <c:dispBlanksAs val="gap"/>
    <c:showDLblsOverMax val="0"/>
  </c:chart>
  <c:spPr>
    <a:solidFill>
      <a:schemeClr val="bg1"/>
    </a:solidFill>
    <a:ln w="9525" cap="flat" cmpd="sng" algn="ctr">
      <a:noFill/>
      <a:round/>
    </a:ln>
    <a:effectLst/>
  </c:spPr>
  <c:txPr>
    <a:bodyPr/>
    <a:lstStyle/>
    <a:p>
      <a:pPr>
        <a:defRPr lang="zh-CN" sz="1000">
          <a:latin typeface="Times New Roman" panose="02020603050405020304" charset="0"/>
          <a:cs typeface="Times New Roman" panose="02020603050405020304" charset="0"/>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500703318236"/>
          <c:y val="0.0251764041772509"/>
          <c:w val="0.805787743074867"/>
          <c:h val="0.944675430215575"/>
        </c:manualLayout>
      </c:layout>
      <c:barChart>
        <c:barDir val="bar"/>
        <c:grouping val="clustered"/>
        <c:varyColors val="0"/>
        <c:ser>
          <c:idx val="0"/>
          <c:order val="0"/>
          <c:tx>
            <c:strRef>
              <c:f>Sheet1!$B$1</c:f>
              <c:strCache>
                <c:ptCount val="1"/>
                <c:pt idx="0">
                  <c:v>系列 1</c:v>
                </c:pt>
              </c:strCache>
            </c:strRef>
          </c:tx>
          <c:spPr>
            <a:solidFill>
              <a:schemeClr val="accent1"/>
            </a:solidFill>
            <a:ln>
              <a:noFill/>
            </a:ln>
            <a:effectLst/>
          </c:spPr>
          <c:invertIfNegative val="0"/>
          <c:dPt>
            <c:idx val="2"/>
            <c:invertIfNegative val="0"/>
            <c:bubble3D val="0"/>
            <c:spPr>
              <a:solidFill>
                <a:schemeClr val="accent1"/>
              </a:solidFill>
              <a:ln>
                <a:noFill/>
              </a:ln>
              <a:effectLst/>
            </c:spPr>
          </c:dPt>
          <c:dLbls>
            <c:spPr>
              <a:noFill/>
              <a:ln>
                <a:noFill/>
              </a:ln>
              <a:effectLst/>
            </c:spPr>
            <c:txPr>
              <a:bodyPr rot="0" spcFirstLastPara="0" vertOverflow="ellipsis" vert="horz" wrap="square" lIns="38100" tIns="19050" rIns="38100" bIns="19050" anchor="ctr" anchorCtr="0"/>
              <a:lstStyle/>
              <a:p>
                <a:pPr algn="l">
                  <a:defRPr lang="zh-CN" sz="1050" b="0" i="0" u="none" strike="noStrike" kern="1200" baseline="0">
                    <a:solidFill>
                      <a:sysClr val="windowText" lastClr="000000"/>
                    </a:solidFill>
                    <a:latin typeface="Times New Roman" panose="02020603050405020304" charset="0"/>
                    <a:ea typeface="宋体" panose="02010600030101010101" charset="-122"/>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6350" cap="flat" cmpd="sng" algn="ctr">
                      <a:solidFill>
                        <a:schemeClr val="tx1"/>
                      </a:solidFill>
                      <a:prstDash val="solid"/>
                      <a:round/>
                    </a:ln>
                    <a:effectLst/>
                  </c:spPr>
                </c15:leaderLines>
              </c:ext>
            </c:extLst>
          </c:dLbls>
          <c:cat>
            <c:strRef>
              <c:f>Sheet1!$A$2:$A$15</c:f>
              <c:strCache>
                <c:ptCount val="14"/>
                <c:pt idx="0">
                  <c:v>文化与传媒学院</c:v>
                </c:pt>
                <c:pt idx="1">
                  <c:v>经济与管理学院</c:v>
                </c:pt>
                <c:pt idx="2">
                  <c:v>环境与旅游学院</c:v>
                </c:pt>
                <c:pt idx="3">
                  <c:v>生物与制药工程学院</c:v>
                </c:pt>
                <c:pt idx="4">
                  <c:v>法学院</c:v>
                </c:pt>
                <c:pt idx="5">
                  <c:v>金融与数学学院</c:v>
                </c:pt>
                <c:pt idx="6">
                  <c:v>外国语学院</c:v>
                </c:pt>
                <c:pt idx="7">
                  <c:v>电子与信息工程学院</c:v>
                </c:pt>
                <c:pt idx="8">
                  <c:v>建筑与土木工程学院</c:v>
                </c:pt>
                <c:pt idx="9">
                  <c:v>电气与光电工程学院</c:v>
                </c:pt>
                <c:pt idx="10">
                  <c:v>艺术学院</c:v>
                </c:pt>
                <c:pt idx="11">
                  <c:v>材料与化工学院</c:v>
                </c:pt>
                <c:pt idx="12">
                  <c:v>机械与车辆工程学院</c:v>
                </c:pt>
                <c:pt idx="13">
                  <c:v>体育学院</c:v>
                </c:pt>
              </c:strCache>
            </c:strRef>
          </c:cat>
          <c:val>
            <c:numRef>
              <c:f>Sheet1!$B$2:$B$15</c:f>
              <c:numCache>
                <c:formatCode>0.00%</c:formatCode>
                <c:ptCount val="14"/>
                <c:pt idx="0">
                  <c:v>0.8599</c:v>
                </c:pt>
                <c:pt idx="1">
                  <c:v>0.934</c:v>
                </c:pt>
                <c:pt idx="2">
                  <c:v>0.9348</c:v>
                </c:pt>
                <c:pt idx="3">
                  <c:v>0.9581</c:v>
                </c:pt>
                <c:pt idx="4">
                  <c:v>0.9636</c:v>
                </c:pt>
                <c:pt idx="5">
                  <c:v>0.9729</c:v>
                </c:pt>
                <c:pt idx="6">
                  <c:v>0.9731</c:v>
                </c:pt>
                <c:pt idx="7">
                  <c:v>0.9756</c:v>
                </c:pt>
                <c:pt idx="8">
                  <c:v>0.9757</c:v>
                </c:pt>
                <c:pt idx="9">
                  <c:v>0.9772</c:v>
                </c:pt>
                <c:pt idx="10">
                  <c:v>0.9794</c:v>
                </c:pt>
                <c:pt idx="11">
                  <c:v>0.9872</c:v>
                </c:pt>
                <c:pt idx="12">
                  <c:v>0.9874</c:v>
                </c:pt>
                <c:pt idx="13">
                  <c:v>0.9952</c:v>
                </c:pt>
              </c:numCache>
            </c:numRef>
          </c:val>
        </c:ser>
        <c:ser>
          <c:idx val="1"/>
          <c:order val="1"/>
          <c:tx>
            <c:strRef>
              <c:f>Sheet1!$C$1</c:f>
              <c:strCache>
                <c:ptCount val="1"/>
                <c:pt idx="0">
                  <c:v>列1</c:v>
                </c:pt>
              </c:strCache>
            </c:strRef>
          </c:tx>
          <c:spPr>
            <a:solidFill>
              <a:schemeClr val="accent2"/>
            </a:solidFill>
            <a:ln>
              <a:noFill/>
            </a:ln>
            <a:effectLst/>
          </c:spPr>
          <c:invertIfNegative val="0"/>
          <c:dLbls>
            <c:spPr>
              <a:noFill/>
              <a:ln>
                <a:noFill/>
              </a:ln>
              <a:effectLst/>
            </c:spPr>
            <c:txPr>
              <a:bodyPr rot="0" spcFirstLastPara="1" vertOverflow="overflow" horzOverflow="overflow" vert="horz" wrap="none" lIns="38100" tIns="19050" rIns="38100" bIns="19050" anchor="ctr" anchorCtr="0">
                <a:spAutoFit/>
              </a:bodyPr>
              <a:lstStyle/>
              <a:p>
                <a:pPr algn="ctr">
                  <a:defRPr lang="zh-CN" sz="1050" b="0" i="0" u="none" strike="noStrike" kern="1200" baseline="0">
                    <a:solidFill>
                      <a:sysClr val="windowText" lastClr="000000"/>
                    </a:solidFill>
                    <a:latin typeface="宋体" panose="02010600030101010101" charset="-122"/>
                    <a:ea typeface="宋体" panose="02010600030101010101" charset="-122"/>
                    <a:cs typeface="+mn-cs"/>
                  </a:defRPr>
                </a:pPr>
              </a:p>
            </c:txPr>
            <c:dLblPos val="inBase"/>
            <c:showLegendKey val="0"/>
            <c:showVal val="0"/>
            <c:showCatName val="1"/>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shade val="95000"/>
                          <a:satMod val="105000"/>
                        </a:schemeClr>
                      </a:solidFill>
                      <a:prstDash val="solid"/>
                      <a:round/>
                    </a:ln>
                    <a:effectLst/>
                  </c:spPr>
                </c15:leaderLines>
              </c:ext>
            </c:extLst>
          </c:dLbls>
          <c:cat>
            <c:strRef>
              <c:f>Sheet1!$A$2:$A$15</c:f>
              <c:strCache>
                <c:ptCount val="14"/>
                <c:pt idx="0">
                  <c:v>文化与传媒学院</c:v>
                </c:pt>
                <c:pt idx="1">
                  <c:v>经济与管理学院</c:v>
                </c:pt>
                <c:pt idx="2">
                  <c:v>环境与旅游学院</c:v>
                </c:pt>
                <c:pt idx="3">
                  <c:v>生物与制药工程学院</c:v>
                </c:pt>
                <c:pt idx="4">
                  <c:v>法学院</c:v>
                </c:pt>
                <c:pt idx="5">
                  <c:v>金融与数学学院</c:v>
                </c:pt>
                <c:pt idx="6">
                  <c:v>外国语学院</c:v>
                </c:pt>
                <c:pt idx="7">
                  <c:v>电子与信息工程学院</c:v>
                </c:pt>
                <c:pt idx="8">
                  <c:v>建筑与土木工程学院</c:v>
                </c:pt>
                <c:pt idx="9">
                  <c:v>电气与光电工程学院</c:v>
                </c:pt>
                <c:pt idx="10">
                  <c:v>艺术学院</c:v>
                </c:pt>
                <c:pt idx="11">
                  <c:v>材料与化工学院</c:v>
                </c:pt>
                <c:pt idx="12">
                  <c:v>机械与车辆工程学院</c:v>
                </c:pt>
                <c:pt idx="13">
                  <c:v>体育学院</c:v>
                </c:pt>
              </c:strCache>
            </c:strRef>
          </c:cat>
          <c:val>
            <c:numRef>
              <c:f>Sheet1!$C$2:$C$15</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ser>
        <c:dLbls>
          <c:showLegendKey val="0"/>
          <c:showVal val="0"/>
          <c:showCatName val="0"/>
          <c:showSerName val="0"/>
          <c:showPercent val="0"/>
          <c:showBubbleSize val="0"/>
        </c:dLbls>
        <c:gapWidth val="30"/>
        <c:axId val="256061536"/>
        <c:axId val="256062096"/>
      </c:barChart>
      <c:catAx>
        <c:axId val="256061536"/>
        <c:scaling>
          <c:orientation val="minMax"/>
        </c:scaling>
        <c:delete val="0"/>
        <c:axPos val="l"/>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0" vertOverflow="ellipsis" vert="horz" wrap="square" anchor="ctr" anchorCtr="1"/>
          <a:lstStyle/>
          <a:p>
            <a:pPr>
              <a:defRPr lang="zh-CN" sz="900" b="0" i="0" u="none" strike="noStrike" kern="1200" baseline="0">
                <a:noFill/>
                <a:latin typeface="+mn-lt"/>
                <a:ea typeface="+mn-ea"/>
                <a:cs typeface="+mn-cs"/>
              </a:defRPr>
            </a:pPr>
          </a:p>
        </c:txPr>
        <c:crossAx val="256062096"/>
        <c:crosses val="autoZero"/>
        <c:auto val="1"/>
        <c:lblAlgn val="ctr"/>
        <c:lblOffset val="100"/>
        <c:tickLblSkip val="1"/>
        <c:noMultiLvlLbl val="0"/>
      </c:catAx>
      <c:valAx>
        <c:axId val="256062096"/>
        <c:scaling>
          <c:orientation val="minMax"/>
          <c:max val="1"/>
          <c:min val="0"/>
        </c:scaling>
        <c:delete val="1"/>
        <c:axPos val="b"/>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56061536"/>
        <c:crosses val="autoZero"/>
        <c:crossBetween val="between"/>
        <c:majorUnit val="0.1"/>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sz="1000"/>
      </a:p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364577208044"/>
          <c:y val="0.0263430276860554"/>
          <c:w val="0.840308700680908"/>
          <c:h val="0.973656864320531"/>
        </c:manualLayout>
      </c:layout>
      <c:barChart>
        <c:barDir val="bar"/>
        <c:grouping val="clustered"/>
        <c:varyColors val="0"/>
        <c:ser>
          <c:idx val="0"/>
          <c:order val="0"/>
          <c:tx>
            <c:strRef>
              <c:f>Sheet1!$B$1</c:f>
              <c:strCache>
                <c:ptCount val="1"/>
                <c:pt idx="0">
                  <c:v>2019届</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1050" b="0" i="0" u="none" strike="noStrike" kern="1200" baseline="0">
                    <a:solidFill>
                      <a:sysClr val="windowText" lastClr="000000"/>
                    </a:solidFill>
                    <a:latin typeface="Times New Roman" panose="02020603050405020304" charset="0"/>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机关</c:v>
                </c:pt>
                <c:pt idx="1">
                  <c:v>三资企业</c:v>
                </c:pt>
                <c:pt idx="2">
                  <c:v>国有企业</c:v>
                </c:pt>
                <c:pt idx="3">
                  <c:v>其他企业</c:v>
                </c:pt>
              </c:strCache>
            </c:strRef>
          </c:cat>
          <c:val>
            <c:numRef>
              <c:f>Sheet1!$B$2:$B$5</c:f>
              <c:numCache>
                <c:formatCode>0.00%</c:formatCode>
                <c:ptCount val="4"/>
                <c:pt idx="0">
                  <c:v>0.0112</c:v>
                </c:pt>
                <c:pt idx="1">
                  <c:v>0.0194</c:v>
                </c:pt>
                <c:pt idx="2">
                  <c:v>0.0889</c:v>
                </c:pt>
                <c:pt idx="3">
                  <c:v>0.7848</c:v>
                </c:pt>
              </c:numCache>
            </c:numRef>
          </c:val>
        </c:ser>
        <c:ser>
          <c:idx val="1"/>
          <c:order val="1"/>
          <c:tx>
            <c:strRef>
              <c:f>Sheet1!$C$1</c:f>
              <c:strCache>
                <c:ptCount val="1"/>
                <c:pt idx="0">
                  <c:v>2018届</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1050" b="0" i="0" u="none" strike="noStrike" kern="1200" baseline="0">
                    <a:solidFill>
                      <a:sysClr val="windowText" lastClr="000000"/>
                    </a:solidFill>
                    <a:latin typeface="Times New Roman" panose="02020603050405020304" charset="0"/>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机关</c:v>
                </c:pt>
                <c:pt idx="1">
                  <c:v>三资企业</c:v>
                </c:pt>
                <c:pt idx="2">
                  <c:v>国有企业</c:v>
                </c:pt>
                <c:pt idx="3">
                  <c:v>其他企业</c:v>
                </c:pt>
              </c:strCache>
            </c:strRef>
          </c:cat>
          <c:val>
            <c:numRef>
              <c:f>Sheet1!$C$2:$C$5</c:f>
              <c:numCache>
                <c:formatCode>0.00%</c:formatCode>
                <c:ptCount val="4"/>
                <c:pt idx="0">
                  <c:v>0.0106</c:v>
                </c:pt>
                <c:pt idx="1">
                  <c:v>0.0183</c:v>
                </c:pt>
                <c:pt idx="2">
                  <c:v>0.0815</c:v>
                </c:pt>
                <c:pt idx="3">
                  <c:v>0.8118</c:v>
                </c:pt>
              </c:numCache>
            </c:numRef>
          </c:val>
        </c:ser>
        <c:ser>
          <c:idx val="2"/>
          <c:order val="2"/>
          <c:tx>
            <c:strRef>
              <c:f>Sheet1!$D$1</c:f>
              <c:strCache>
                <c:ptCount val="1"/>
                <c:pt idx="0">
                  <c:v>2017届</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1050" b="0" i="0" u="none" strike="noStrike" kern="1200" baseline="0">
                    <a:solidFill>
                      <a:sysClr val="windowText" lastClr="000000"/>
                    </a:solidFill>
                    <a:latin typeface="Times New Roman" panose="02020603050405020304" charset="0"/>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机关</c:v>
                </c:pt>
                <c:pt idx="1">
                  <c:v>三资企业</c:v>
                </c:pt>
                <c:pt idx="2">
                  <c:v>国有企业</c:v>
                </c:pt>
                <c:pt idx="3">
                  <c:v>其他企业</c:v>
                </c:pt>
              </c:strCache>
            </c:strRef>
          </c:cat>
          <c:val>
            <c:numRef>
              <c:f>Sheet1!$D$2:$D$5</c:f>
              <c:numCache>
                <c:formatCode>0.00%</c:formatCode>
                <c:ptCount val="4"/>
                <c:pt idx="0">
                  <c:v>0.088</c:v>
                </c:pt>
                <c:pt idx="1">
                  <c:v>0.0313</c:v>
                </c:pt>
                <c:pt idx="2">
                  <c:v>0.0681</c:v>
                </c:pt>
                <c:pt idx="3">
                  <c:v>0.6732</c:v>
                </c:pt>
              </c:numCache>
            </c:numRef>
          </c:val>
        </c:ser>
        <c:dLbls>
          <c:showLegendKey val="0"/>
          <c:showVal val="1"/>
          <c:showCatName val="0"/>
          <c:showSerName val="0"/>
          <c:showPercent val="0"/>
          <c:showBubbleSize val="0"/>
        </c:dLbls>
        <c:gapWidth val="50"/>
        <c:overlap val="-15"/>
        <c:axId val="279536720"/>
        <c:axId val="279537280"/>
      </c:barChart>
      <c:catAx>
        <c:axId val="279536720"/>
        <c:scaling>
          <c:orientation val="minMax"/>
        </c:scaling>
        <c:delete val="0"/>
        <c:axPos val="l"/>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279537280"/>
        <c:crosses val="autoZero"/>
        <c:auto val="1"/>
        <c:lblAlgn val="ctr"/>
        <c:lblOffset val="100"/>
        <c:noMultiLvlLbl val="0"/>
      </c:catAx>
      <c:valAx>
        <c:axId val="279537280"/>
        <c:scaling>
          <c:orientation val="minMax"/>
          <c:max val="0.85"/>
        </c:scaling>
        <c:delete val="1"/>
        <c:axPos val="b"/>
        <c:numFmt formatCode="0.00%" sourceLinked="0"/>
        <c:majorTickMark val="out"/>
        <c:minorTickMark val="none"/>
        <c:tickLblPos val="nextTo"/>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279536720"/>
        <c:crosses val="autoZero"/>
        <c:crossBetween val="between"/>
        <c:majorUnit val="0.1"/>
      </c:valAx>
      <c:spPr>
        <a:noFill/>
        <a:ln>
          <a:noFill/>
        </a:ln>
        <a:effectLst/>
      </c:spPr>
    </c:plotArea>
    <c:legend>
      <c:legendPos val="r"/>
      <c:layout>
        <c:manualLayout>
          <c:xMode val="edge"/>
          <c:yMode val="edge"/>
          <c:x val="0.80087522713507"/>
          <c:y val="0.392597947983775"/>
          <c:w val="0.179811629315566"/>
          <c:h val="0.166667833187518"/>
        </c:manualLayout>
      </c:layout>
      <c:overlay val="0"/>
      <c:spPr>
        <a:noFill/>
        <a:ln>
          <a:noFill/>
        </a:ln>
        <a:effectLst/>
      </c:spPr>
      <c:txPr>
        <a:bodyPr rot="0" spcFirstLastPara="1" vertOverflow="ellipsis" vert="horz" wrap="square" anchor="ctr" anchorCtr="1"/>
        <a:lstStyle/>
        <a:p>
          <a:pPr>
            <a:defRPr lang="zh-CN" sz="1050" b="0" i="0" u="none" strike="noStrike" kern="1200" baseline="0">
              <a:solidFill>
                <a:sysClr val="windowText" lastClr="000000"/>
              </a:solidFill>
              <a:latin typeface="Times New Roman" panose="02020603050405020304" charset="0"/>
              <a:ea typeface="宋体" panose="02010600030101010101" charset="-122"/>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a:solidFill>
            <a:sysClr val="windowText" lastClr="000000"/>
          </a:solidFill>
        </a:defRPr>
      </a:pP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2301326917469"/>
          <c:y val="0.00225450600962703"/>
          <c:w val="0.677420895304754"/>
          <c:h val="0.995490987980746"/>
        </c:manualLayout>
      </c:layout>
      <c:barChart>
        <c:barDir val="bar"/>
        <c:grouping val="clustered"/>
        <c:varyColors val="0"/>
        <c:ser>
          <c:idx val="0"/>
          <c:order val="0"/>
          <c:tx>
            <c:strRef>
              <c:f>Sheet1!$B$1</c:f>
              <c:strCache>
                <c:ptCount val="1"/>
                <c:pt idx="0">
                  <c:v>2019届</c:v>
                </c:pt>
              </c:strCache>
            </c:strRef>
          </c:tx>
          <c:spPr>
            <a:solidFill>
              <a:schemeClr val="accent1"/>
            </a:solidFill>
            <a:ln>
              <a:noFill/>
            </a:ln>
            <a:effectLst/>
          </c:spPr>
          <c:invertIfNegative val="0"/>
          <c:dLbls>
            <c:dLbl>
              <c:idx val="0"/>
              <c:layout>
                <c:manualLayout>
                  <c:x val="4.24377813600666e-17"/>
                  <c:y val="0.0100394897446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0100394897446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24377813600666e-17"/>
                  <c:y val="0.010039489744632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0100394897446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00394897446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charset="0"/>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农、林、牧、渔业</c:v>
                </c:pt>
                <c:pt idx="1">
                  <c:v>电力、热力、燃气及水生产和供应业</c:v>
                </c:pt>
                <c:pt idx="2">
                  <c:v>金融业</c:v>
                </c:pt>
                <c:pt idx="3">
                  <c:v>居民服务、修理和其他服务业</c:v>
                </c:pt>
                <c:pt idx="4">
                  <c:v>租赁和商务服务业</c:v>
                </c:pt>
                <c:pt idx="5">
                  <c:v>科学研究和技术服务业</c:v>
                </c:pt>
                <c:pt idx="6">
                  <c:v>文化、体育和娱乐业</c:v>
                </c:pt>
                <c:pt idx="7">
                  <c:v>批发和零售业</c:v>
                </c:pt>
                <c:pt idx="8">
                  <c:v>制造业</c:v>
                </c:pt>
                <c:pt idx="9">
                  <c:v>建筑业</c:v>
                </c:pt>
                <c:pt idx="10">
                  <c:v>信息传输、软件和信息技术服务业</c:v>
                </c:pt>
                <c:pt idx="11">
                  <c:v>教育</c:v>
                </c:pt>
              </c:strCache>
            </c:strRef>
          </c:cat>
          <c:val>
            <c:numRef>
              <c:f>Sheet1!$B$2:$B$13</c:f>
              <c:numCache>
                <c:formatCode>0.00%</c:formatCode>
                <c:ptCount val="12"/>
                <c:pt idx="0">
                  <c:v>0.0218</c:v>
                </c:pt>
                <c:pt idx="1">
                  <c:v>0.0243</c:v>
                </c:pt>
                <c:pt idx="2">
                  <c:v>0.037</c:v>
                </c:pt>
                <c:pt idx="3">
                  <c:v>0.0444</c:v>
                </c:pt>
                <c:pt idx="4">
                  <c:v>0.0473</c:v>
                </c:pt>
                <c:pt idx="5">
                  <c:v>0.0489</c:v>
                </c:pt>
                <c:pt idx="6">
                  <c:v>0.0674</c:v>
                </c:pt>
                <c:pt idx="7">
                  <c:v>0.0945</c:v>
                </c:pt>
                <c:pt idx="8">
                  <c:v>0.1001</c:v>
                </c:pt>
                <c:pt idx="9">
                  <c:v>0.1113</c:v>
                </c:pt>
                <c:pt idx="10">
                  <c:v>0.1275</c:v>
                </c:pt>
                <c:pt idx="11">
                  <c:v>0.1972</c:v>
                </c:pt>
              </c:numCache>
            </c:numRef>
          </c:val>
        </c:ser>
        <c:ser>
          <c:idx val="1"/>
          <c:order val="1"/>
          <c:tx>
            <c:strRef>
              <c:f>Sheet1!$C$1</c:f>
              <c:strCache>
                <c:ptCount val="1"/>
                <c:pt idx="0">
                  <c:v>2018届</c:v>
                </c:pt>
              </c:strCache>
            </c:strRef>
          </c:tx>
          <c:spPr>
            <a:solidFill>
              <a:schemeClr val="accent2"/>
            </a:solidFill>
            <a:ln>
              <a:noFill/>
            </a:ln>
            <a:effectLst/>
          </c:spPr>
          <c:invertIfNegative val="0"/>
          <c:dLbls>
            <c:dLbl>
              <c:idx val="0"/>
              <c:layout>
                <c:manualLayout>
                  <c:x val="-4.24377813600666e-17"/>
                  <c:y val="0.002993561974965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24377813600666e-17"/>
                  <c:y val="0.002993561974965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24377813600666e-17"/>
                  <c:y val="0.0029935619749658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002993561974965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02993561974965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charset="0"/>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Sheet1!$A$2:$A$13</c:f>
              <c:strCache>
                <c:ptCount val="12"/>
                <c:pt idx="0">
                  <c:v>农、林、牧、渔业</c:v>
                </c:pt>
                <c:pt idx="1">
                  <c:v>电力、热力、燃气及水生产和供应业</c:v>
                </c:pt>
                <c:pt idx="2">
                  <c:v>金融业</c:v>
                </c:pt>
                <c:pt idx="3">
                  <c:v>居民服务、修理和其他服务业</c:v>
                </c:pt>
                <c:pt idx="4">
                  <c:v>租赁和商务服务业</c:v>
                </c:pt>
                <c:pt idx="5">
                  <c:v>科学研究和技术服务业</c:v>
                </c:pt>
                <c:pt idx="6">
                  <c:v>文化、体育和娱乐业</c:v>
                </c:pt>
                <c:pt idx="7">
                  <c:v>批发和零售业</c:v>
                </c:pt>
                <c:pt idx="8">
                  <c:v>制造业</c:v>
                </c:pt>
                <c:pt idx="9">
                  <c:v>建筑业</c:v>
                </c:pt>
                <c:pt idx="10">
                  <c:v>信息传输、软件和信息技术服务业</c:v>
                </c:pt>
                <c:pt idx="11">
                  <c:v>教育</c:v>
                </c:pt>
              </c:strCache>
            </c:strRef>
          </c:cat>
          <c:val>
            <c:numRef>
              <c:f>Sheet1!$C$2:$C$13</c:f>
              <c:numCache>
                <c:formatCode>0.00%</c:formatCode>
                <c:ptCount val="12"/>
                <c:pt idx="0">
                  <c:v>0.0302</c:v>
                </c:pt>
                <c:pt idx="1">
                  <c:v>0.0252</c:v>
                </c:pt>
                <c:pt idx="2">
                  <c:v>0.0574</c:v>
                </c:pt>
                <c:pt idx="3">
                  <c:v>0.0441</c:v>
                </c:pt>
                <c:pt idx="4">
                  <c:v>0.0416</c:v>
                </c:pt>
                <c:pt idx="5">
                  <c:v>0.0359</c:v>
                </c:pt>
                <c:pt idx="6">
                  <c:v>0.0576</c:v>
                </c:pt>
                <c:pt idx="7">
                  <c:v>0.0955</c:v>
                </c:pt>
                <c:pt idx="8">
                  <c:v>0.1211</c:v>
                </c:pt>
                <c:pt idx="9">
                  <c:v>0.1256</c:v>
                </c:pt>
                <c:pt idx="10">
                  <c:v>0.1321</c:v>
                </c:pt>
                <c:pt idx="11">
                  <c:v>0.1459</c:v>
                </c:pt>
              </c:numCache>
            </c:numRef>
          </c:val>
        </c:ser>
        <c:ser>
          <c:idx val="2"/>
          <c:order val="2"/>
          <c:tx>
            <c:strRef>
              <c:f>Sheet1!$D$1</c:f>
              <c:strCache>
                <c:ptCount val="1"/>
                <c:pt idx="0">
                  <c:v>2017届</c:v>
                </c:pt>
              </c:strCache>
            </c:strRef>
          </c:tx>
          <c:spPr>
            <a:solidFill>
              <a:schemeClr val="accent3"/>
            </a:solidFill>
            <a:ln>
              <a:noFill/>
            </a:ln>
            <a:effectLst/>
          </c:spPr>
          <c:invertIfNegative val="0"/>
          <c:dLbls>
            <c:dLbl>
              <c:idx val="0"/>
              <c:layout>
                <c:manualLayout>
                  <c:x val="0"/>
                  <c:y val="0.0010591229287828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24377813600666e-17"/>
                  <c:y val="0.0010591229287826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0010591229287828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0010591229287828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69751125440267e-16"/>
                  <c:y val="0.0010591229287828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charset="0"/>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Sheet1!$A$2:$A$13</c:f>
              <c:strCache>
                <c:ptCount val="12"/>
                <c:pt idx="0">
                  <c:v>农、林、牧、渔业</c:v>
                </c:pt>
                <c:pt idx="1">
                  <c:v>电力、热力、燃气及水生产和供应业</c:v>
                </c:pt>
                <c:pt idx="2">
                  <c:v>金融业</c:v>
                </c:pt>
                <c:pt idx="3">
                  <c:v>居民服务、修理和其他服务业</c:v>
                </c:pt>
                <c:pt idx="4">
                  <c:v>租赁和商务服务业</c:v>
                </c:pt>
                <c:pt idx="5">
                  <c:v>科学研究和技术服务业</c:v>
                </c:pt>
                <c:pt idx="6">
                  <c:v>文化、体育和娱乐业</c:v>
                </c:pt>
                <c:pt idx="7">
                  <c:v>批发和零售业</c:v>
                </c:pt>
                <c:pt idx="8">
                  <c:v>制造业</c:v>
                </c:pt>
                <c:pt idx="9">
                  <c:v>建筑业</c:v>
                </c:pt>
                <c:pt idx="10">
                  <c:v>信息传输、软件和信息技术服务业</c:v>
                </c:pt>
                <c:pt idx="11">
                  <c:v>教育</c:v>
                </c:pt>
              </c:strCache>
            </c:strRef>
          </c:cat>
          <c:val>
            <c:numRef>
              <c:f>Sheet1!$D$2:$D$13</c:f>
              <c:numCache>
                <c:formatCode>0.00%</c:formatCode>
                <c:ptCount val="12"/>
                <c:pt idx="0">
                  <c:v>0.0203</c:v>
                </c:pt>
                <c:pt idx="1">
                  <c:v>0.0273</c:v>
                </c:pt>
                <c:pt idx="2">
                  <c:v>0.0458</c:v>
                </c:pt>
                <c:pt idx="3">
                  <c:v>0.0391</c:v>
                </c:pt>
                <c:pt idx="4">
                  <c:v>0.037</c:v>
                </c:pt>
                <c:pt idx="5">
                  <c:v>0.0201</c:v>
                </c:pt>
                <c:pt idx="6">
                  <c:v>0.0458</c:v>
                </c:pt>
                <c:pt idx="7">
                  <c:v>0.0804</c:v>
                </c:pt>
                <c:pt idx="8">
                  <c:v>0.1389</c:v>
                </c:pt>
                <c:pt idx="9">
                  <c:v>0.1306</c:v>
                </c:pt>
                <c:pt idx="10">
                  <c:v>0.1426</c:v>
                </c:pt>
                <c:pt idx="11">
                  <c:v>0.1512</c:v>
                </c:pt>
              </c:numCache>
            </c:numRef>
          </c:val>
        </c:ser>
        <c:dLbls>
          <c:showLegendKey val="0"/>
          <c:showVal val="1"/>
          <c:showCatName val="0"/>
          <c:showSerName val="0"/>
          <c:showPercent val="0"/>
          <c:showBubbleSize val="0"/>
        </c:dLbls>
        <c:gapWidth val="182"/>
        <c:overlap val="-15"/>
        <c:axId val="279540080"/>
        <c:axId val="279540640"/>
      </c:barChart>
      <c:catAx>
        <c:axId val="279540080"/>
        <c:scaling>
          <c:orientation val="minMax"/>
        </c:scaling>
        <c:delete val="0"/>
        <c:axPos val="l"/>
        <c:numFmt formatCode="General" sourceLinked="1"/>
        <c:majorTickMark val="none"/>
        <c:minorTickMark val="none"/>
        <c:tickLblPos val="nextTo"/>
        <c:spPr>
          <a:noFill/>
          <a:ln w="19050" cap="flat" cmpd="sng" algn="ctr">
            <a:solidFill>
              <a:schemeClr val="accent1"/>
            </a:solidFill>
            <a:round/>
          </a:ln>
          <a:effectLst/>
        </c:spPr>
        <c:txPr>
          <a:bodyPr rot="0" spcFirstLastPara="1" vertOverflow="ellipsis" vert="horz" wrap="square" anchor="ctr" anchorCtr="1"/>
          <a:lstStyle/>
          <a:p>
            <a:pPr>
              <a:defRPr lang="zh-CN" sz="1050" b="0" i="0" u="none" strike="noStrike" kern="1200" baseline="0">
                <a:solidFill>
                  <a:sysClr val="windowText" lastClr="000000"/>
                </a:solidFill>
                <a:latin typeface="+mn-ea"/>
                <a:ea typeface="+mn-ea"/>
                <a:cs typeface="+mn-cs"/>
              </a:defRPr>
            </a:pPr>
          </a:p>
        </c:txPr>
        <c:crossAx val="279540640"/>
        <c:crosses val="autoZero"/>
        <c:auto val="1"/>
        <c:lblAlgn val="ctr"/>
        <c:lblOffset val="100"/>
        <c:noMultiLvlLbl val="0"/>
      </c:catAx>
      <c:valAx>
        <c:axId val="279540640"/>
        <c:scaling>
          <c:orientation val="minMax"/>
          <c:max val="0.2"/>
        </c:scaling>
        <c:delete val="1"/>
        <c:axPos val="b"/>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279540080"/>
        <c:crosses val="autoZero"/>
        <c:crossBetween val="between"/>
        <c:majorUnit val="0.2"/>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lang="zh-CN" sz="1050" b="0" i="0" u="none" strike="noStrike" kern="1200" baseline="0">
              <a:solidFill>
                <a:sysClr val="windowText" lastClr="000000"/>
              </a:solidFill>
              <a:latin typeface="Times New Roman" panose="02020603050405020304" charset="0"/>
              <a:ea typeface="宋体" panose="02010600030101010101" charset="-122"/>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a:solidFill>
            <a:sysClr val="windowText" lastClr="000000"/>
          </a:solidFill>
        </a:defRPr>
      </a:pP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562277922431011"/>
          <c:y val="0.0699035481200547"/>
          <c:w val="0.869550524934383"/>
          <c:h val="0.775954411566525"/>
        </c:manualLayout>
      </c:layout>
      <c:barChart>
        <c:barDir val="col"/>
        <c:grouping val="clustered"/>
        <c:varyColors val="0"/>
        <c:ser>
          <c:idx val="0"/>
          <c:order val="0"/>
          <c:tx>
            <c:strRef>
              <c:f>Sheet1!$B$1</c:f>
              <c:strCache>
                <c:ptCount val="1"/>
                <c:pt idx="0">
                  <c:v>月均收入</c:v>
                </c:pt>
              </c:strCache>
            </c:strRef>
          </c:tx>
          <c:spPr>
            <a:solidFill>
              <a:schemeClr val="accent1"/>
            </a:solidFill>
            <a:ln>
              <a:noFill/>
            </a:ln>
            <a:effectLst/>
          </c:spPr>
          <c:invertIfNegative val="0"/>
          <c:dPt>
            <c:idx val="0"/>
            <c:invertIfNegative val="0"/>
            <c:bubble3D val="0"/>
            <c:spPr>
              <a:solidFill>
                <a:schemeClr val="accent1"/>
              </a:solidFill>
              <a:ln>
                <a:noFill/>
              </a:ln>
              <a:effectLst/>
            </c:spPr>
          </c:dPt>
          <c:dPt>
            <c:idx val="1"/>
            <c:invertIfNegative val="0"/>
            <c:bubble3D val="0"/>
            <c:spPr>
              <a:solidFill>
                <a:schemeClr val="accent1"/>
              </a:solidFill>
              <a:ln>
                <a:noFill/>
              </a:ln>
              <a:effectLst/>
            </c:spPr>
          </c:dPt>
          <c:dLbls>
            <c:dLbl>
              <c:idx val="0"/>
              <c:layout>
                <c:manualLayout>
                  <c:x val="0"/>
                  <c:y val="0.0100394897446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24377813600666e-17"/>
                  <c:y val="0.010039489744632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105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2"/>
                <c:pt idx="0">
                  <c:v>2018届</c:v>
                </c:pt>
                <c:pt idx="1">
                  <c:v>2019届</c:v>
                </c:pt>
              </c:strCache>
            </c:strRef>
          </c:cat>
          <c:val>
            <c:numRef>
              <c:f>Sheet1!$B$2:$B$4</c:f>
              <c:numCache>
                <c:formatCode>0.00_ </c:formatCode>
                <c:ptCount val="2"/>
                <c:pt idx="0">
                  <c:v>4204.51</c:v>
                </c:pt>
                <c:pt idx="1">
                  <c:v>4381.95</c:v>
                </c:pt>
              </c:numCache>
            </c:numRef>
          </c:val>
        </c:ser>
        <c:dLbls>
          <c:showLegendKey val="0"/>
          <c:showVal val="1"/>
          <c:showCatName val="0"/>
          <c:showSerName val="0"/>
          <c:showPercent val="0"/>
          <c:showBubbleSize val="0"/>
        </c:dLbls>
        <c:gapWidth val="200"/>
        <c:axId val="280514272"/>
        <c:axId val="280514832"/>
      </c:barChart>
      <c:catAx>
        <c:axId val="280514272"/>
        <c:scaling>
          <c:orientation val="minMax"/>
        </c:scaling>
        <c:delete val="0"/>
        <c:axPos val="b"/>
        <c:numFmt formatCode="General" sourceLinked="1"/>
        <c:majorTickMark val="none"/>
        <c:minorTickMark val="none"/>
        <c:tickLblPos val="nextTo"/>
        <c:spPr>
          <a:noFill/>
          <a:ln w="19050" cap="flat" cmpd="sng" algn="ctr">
            <a:solidFill>
              <a:schemeClr val="accent1"/>
            </a:solidFill>
            <a:round/>
          </a:ln>
          <a:effectLst/>
        </c:spPr>
        <c:txPr>
          <a:bodyPr rot="0" spcFirstLastPara="1" vertOverflow="ellipsis" vert="horz" wrap="square" anchor="ctr" anchorCtr="1"/>
          <a:lstStyle/>
          <a:p>
            <a:pPr>
              <a:defRPr lang="zh-CN" sz="1050" b="0" i="0" u="none" strike="noStrike" kern="1200" baseline="0">
                <a:solidFill>
                  <a:sysClr val="windowText" lastClr="000000"/>
                </a:solidFill>
                <a:latin typeface="Times New Roman" panose="02020603050405020304" charset="0"/>
                <a:ea typeface="宋体" panose="02010600030101010101" charset="-122"/>
                <a:cs typeface="+mn-cs"/>
              </a:defRPr>
            </a:pPr>
          </a:p>
        </c:txPr>
        <c:crossAx val="280514832"/>
        <c:crosses val="autoZero"/>
        <c:auto val="1"/>
        <c:lblAlgn val="ctr"/>
        <c:lblOffset val="100"/>
        <c:noMultiLvlLbl val="0"/>
      </c:catAx>
      <c:valAx>
        <c:axId val="280514832"/>
        <c:scaling>
          <c:orientation val="minMax"/>
          <c:max val="5000"/>
        </c:scaling>
        <c:delete val="1"/>
        <c:axPos val="l"/>
        <c:numFmt formatCode="0.00_ "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280514272"/>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solidFill>
            <a:sysClr val="windowText" lastClr="000000"/>
          </a:solidFill>
        </a:defRPr>
      </a:pP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927903388258"/>
          <c:y val="0"/>
          <c:w val="0.774643117526976"/>
          <c:h val="0.803176003528893"/>
        </c:manualLayout>
      </c:layout>
      <c:barChart>
        <c:barDir val="col"/>
        <c:grouping val="clustered"/>
        <c:varyColors val="0"/>
        <c:ser>
          <c:idx val="0"/>
          <c:order val="0"/>
          <c:tx>
            <c:strRef>
              <c:f>Sheet1!$B$1</c:f>
              <c:strCache>
                <c:ptCount val="1"/>
                <c:pt idx="0">
                  <c:v>占比</c:v>
                </c:pt>
              </c:strCache>
            </c:strRef>
          </c:tx>
          <c:spPr>
            <a:solidFill>
              <a:schemeClr val="accent1"/>
            </a:solidFill>
            <a:ln>
              <a:noFill/>
            </a:ln>
            <a:effectLst/>
          </c:spPr>
          <c:invertIfNegative val="0"/>
          <c:dPt>
            <c:idx val="0"/>
            <c:invertIfNegative val="0"/>
            <c:bubble3D val="0"/>
            <c:spPr>
              <a:solidFill>
                <a:schemeClr val="accent1"/>
              </a:solidFill>
              <a:ln>
                <a:noFill/>
              </a:ln>
              <a:effectLst/>
            </c:spPr>
          </c:dPt>
          <c:dPt>
            <c:idx val="1"/>
            <c:invertIfNegative val="0"/>
            <c:bubble3D val="0"/>
            <c:spPr>
              <a:solidFill>
                <a:schemeClr val="accent1"/>
              </a:solidFill>
              <a:ln>
                <a:noFill/>
              </a:ln>
              <a:effectLst/>
            </c:spPr>
          </c:dPt>
          <c:dLbls>
            <c:dLbl>
              <c:idx val="0"/>
              <c:layout>
                <c:manualLayout>
                  <c:x val="0"/>
                  <c:y val="0.0100394897446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24377813600666e-17"/>
                  <c:y val="0.010039489744632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105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2"/>
                <c:pt idx="0">
                  <c:v>2018届</c:v>
                </c:pt>
                <c:pt idx="1">
                  <c:v>2019届</c:v>
                </c:pt>
              </c:strCache>
            </c:strRef>
          </c:cat>
          <c:val>
            <c:numRef>
              <c:f>Sheet1!$B$2:$B$4</c:f>
              <c:numCache>
                <c:formatCode>0.00%</c:formatCode>
                <c:ptCount val="2"/>
                <c:pt idx="0">
                  <c:v>0.7965</c:v>
                </c:pt>
                <c:pt idx="1">
                  <c:v>0.7695</c:v>
                </c:pt>
              </c:numCache>
            </c:numRef>
          </c:val>
        </c:ser>
        <c:dLbls>
          <c:showLegendKey val="0"/>
          <c:showVal val="1"/>
          <c:showCatName val="0"/>
          <c:showSerName val="0"/>
          <c:showPercent val="0"/>
          <c:showBubbleSize val="0"/>
        </c:dLbls>
        <c:gapWidth val="200"/>
        <c:axId val="280517072"/>
        <c:axId val="280517632"/>
      </c:barChart>
      <c:catAx>
        <c:axId val="280517072"/>
        <c:scaling>
          <c:orientation val="minMax"/>
        </c:scaling>
        <c:delete val="0"/>
        <c:axPos val="b"/>
        <c:numFmt formatCode="General" sourceLinked="1"/>
        <c:majorTickMark val="none"/>
        <c:minorTickMark val="none"/>
        <c:tickLblPos val="nextTo"/>
        <c:spPr>
          <a:noFill/>
          <a:ln w="19050" cap="flat" cmpd="sng" algn="ctr">
            <a:solidFill>
              <a:schemeClr val="accent1"/>
            </a:solidFill>
            <a:round/>
          </a:ln>
          <a:effectLst/>
        </c:spPr>
        <c:txPr>
          <a:bodyPr rot="0" spcFirstLastPara="1" vertOverflow="ellipsis" vert="horz" wrap="square" anchor="ctr" anchorCtr="1"/>
          <a:lstStyle/>
          <a:p>
            <a:pPr>
              <a:defRPr lang="zh-CN" sz="1050" b="0" i="0" u="none" strike="noStrike" kern="1200" baseline="0">
                <a:solidFill>
                  <a:sysClr val="windowText" lastClr="000000"/>
                </a:solidFill>
                <a:latin typeface="Times New Roman" panose="02020603050405020304" charset="0"/>
                <a:ea typeface="宋体" panose="02010600030101010101" charset="-122"/>
                <a:cs typeface="+mn-cs"/>
              </a:defRPr>
            </a:pPr>
          </a:p>
        </c:txPr>
        <c:crossAx val="280517632"/>
        <c:crosses val="autoZero"/>
        <c:auto val="1"/>
        <c:lblAlgn val="ctr"/>
        <c:lblOffset val="100"/>
        <c:noMultiLvlLbl val="0"/>
      </c:catAx>
      <c:valAx>
        <c:axId val="280517632"/>
        <c:scaling>
          <c:orientation val="minMax"/>
          <c:max val="1"/>
          <c:min val="0"/>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280517072"/>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solidFill>
            <a:sysClr val="windowText" lastClr="000000"/>
          </a:solidFill>
        </a:defRPr>
      </a:pP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486284033772887"/>
          <c:y val="0.000980813227223602"/>
          <c:w val="0.918863105967176"/>
          <c:h val="0.814932496031732"/>
        </c:manualLayout>
      </c:layout>
      <c:barChart>
        <c:barDir val="col"/>
        <c:grouping val="clustered"/>
        <c:varyColors val="0"/>
        <c:ser>
          <c:idx val="0"/>
          <c:order val="0"/>
          <c:tx>
            <c:strRef>
              <c:f>Sheet1!$B$1</c:f>
              <c:strCache>
                <c:ptCount val="1"/>
                <c:pt idx="0">
                  <c:v>总体</c:v>
                </c:pt>
              </c:strCache>
            </c:strRef>
          </c:tx>
          <c:spPr>
            <a:blipFill dpi="0" rotWithShape="1">
              <a:blip xmlns:r="http://schemas.openxmlformats.org/officeDocument/2006/relationships" r:embed="rId2">
                <a:extLst>
                  <a:ext uri="{28A0092B-C50C-407E-A947-70E740481C1C}">
                    <a14:useLocalDpi xmlns:a14="http://schemas.microsoft.com/office/drawing/2010/main" val="0"/>
                  </a:ext>
                </a:extLst>
              </a:blip>
              <a:srcRect/>
              <a:stretch>
                <a:fillRect/>
              </a:stretch>
            </a:blipFill>
            <a:ln>
              <a:noFill/>
            </a:ln>
            <a:effectLst/>
          </c:spPr>
          <c:invertIfNegative val="0"/>
          <c:dPt>
            <c:idx val="0"/>
            <c:invertIfNegative val="0"/>
            <c:bubble3D val="0"/>
            <c:spPr>
              <a:blipFill dpi="0" rotWithShape="1">
                <a:blip xmlns:r="http://schemas.openxmlformats.org/officeDocument/2006/relationships" r:embed="rId3"/>
                <a:srcRect/>
                <a:stretch>
                  <a:fillRect/>
                </a:stretch>
              </a:blipFill>
              <a:ln>
                <a:noFill/>
              </a:ln>
              <a:effectLst/>
            </c:spPr>
          </c:dPt>
          <c:dPt>
            <c:idx val="1"/>
            <c:invertIfNegative val="0"/>
            <c:bubble3D val="0"/>
            <c:spPr>
              <a:blipFill dpi="0" rotWithShape="1">
                <a:blip xmlns:r="http://schemas.openxmlformats.org/officeDocument/2006/relationships" r:embed="rId4"/>
                <a:srcRect/>
                <a:stretch>
                  <a:fillRect/>
                </a:stretch>
              </a:blipFill>
              <a:ln>
                <a:noFill/>
              </a:ln>
              <a:effectLst/>
            </c:spPr>
          </c:dPt>
          <c:dPt>
            <c:idx val="2"/>
            <c:invertIfNegative val="0"/>
            <c:bubble3D val="0"/>
            <c:spPr>
              <a:blipFill dpi="0" rotWithShape="1">
                <a:blip xmlns:r="http://schemas.openxmlformats.org/officeDocument/2006/relationships" r:embed="rId5"/>
                <a:srcRect/>
                <a:stretch>
                  <a:fillRect/>
                </a:stretch>
              </a:blipFill>
              <a:ln>
                <a:noFill/>
              </a:ln>
              <a:effectLst/>
            </c:spPr>
          </c:dPt>
          <c:dPt>
            <c:idx val="3"/>
            <c:invertIfNegative val="0"/>
            <c:bubble3D val="0"/>
            <c:spPr>
              <a:blipFill dpi="0" rotWithShape="1">
                <a:blip xmlns:r="http://schemas.openxmlformats.org/officeDocument/2006/relationships" r:embed="rId6"/>
                <a:srcRect/>
                <a:stretch>
                  <a:fillRect/>
                </a:stretch>
              </a:blipFill>
              <a:ln>
                <a:noFill/>
              </a:ln>
              <a:effectLst/>
            </c:spPr>
          </c:dPt>
          <c:dPt>
            <c:idx val="4"/>
            <c:invertIfNegative val="0"/>
            <c:bubble3D val="0"/>
            <c:spPr>
              <a:blipFill dpi="0" rotWithShape="1">
                <a:blip xmlns:r="http://schemas.openxmlformats.org/officeDocument/2006/relationships" r:embed="rId7"/>
                <a:srcRect/>
                <a:stretch>
                  <a:fillRect/>
                </a:stretch>
              </a:blipFill>
              <a:ln>
                <a:noFill/>
              </a:ln>
              <a:effectLst/>
            </c:spPr>
          </c:dPt>
          <c:dLbls>
            <c:spPr>
              <a:solidFill>
                <a:schemeClr val="bg1"/>
              </a:solidFill>
              <a:ln>
                <a:noFill/>
              </a:ln>
              <a:effectLst/>
            </c:spPr>
            <c:txPr>
              <a:bodyPr rot="0" spcFirstLastPara="1" vertOverflow="ellipsis" vert="horz" wrap="square" lIns="38100" tIns="19050" rIns="38100" bIns="19050" anchor="ctr" anchorCtr="1">
                <a:spAutoFit/>
              </a:bodyPr>
              <a:lstStyle/>
              <a:p>
                <a:pPr>
                  <a:defRPr lang="zh-CN" sz="1050" b="0" i="0" u="none" strike="noStrike" kern="1200" baseline="0">
                    <a:solidFill>
                      <a:schemeClr val="tx1"/>
                    </a:solidFill>
                    <a:latin typeface="Times New Roman" panose="02020603050405020304" charset="0"/>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bg1">
                          <a:lumMod val="65000"/>
                        </a:schemeClr>
                      </a:solidFill>
                      <a:prstDash val="solid"/>
                      <a:round/>
                    </a:ln>
                    <a:effectLst/>
                  </c:spPr>
                </c15:leaderLines>
              </c:ext>
            </c:extLst>
          </c:dLbls>
          <c:cat>
            <c:strRef>
              <c:f>Sheet1!$A$2:$A$6</c:f>
              <c:strCache>
                <c:ptCount val="5"/>
                <c:pt idx="0">
                  <c:v>很满意</c:v>
                </c:pt>
                <c:pt idx="1">
                  <c:v>比较满意</c:v>
                </c:pt>
                <c:pt idx="2">
                  <c:v>一般</c:v>
                </c:pt>
                <c:pt idx="3">
                  <c:v>比较不满意</c:v>
                </c:pt>
                <c:pt idx="4">
                  <c:v>很不满意</c:v>
                </c:pt>
              </c:strCache>
            </c:strRef>
          </c:cat>
          <c:val>
            <c:numRef>
              <c:f>Sheet1!$B$2:$B$6</c:f>
              <c:numCache>
                <c:formatCode>0.00%</c:formatCode>
                <c:ptCount val="5"/>
                <c:pt idx="0">
                  <c:v>0.252799310938846</c:v>
                </c:pt>
                <c:pt idx="1">
                  <c:v>0.576658053402239</c:v>
                </c:pt>
                <c:pt idx="2">
                  <c:v>0.157622739018088</c:v>
                </c:pt>
                <c:pt idx="3">
                  <c:v>0.00861326442721792</c:v>
                </c:pt>
                <c:pt idx="4">
                  <c:v>0.00430663221360896</c:v>
                </c:pt>
              </c:numCache>
            </c:numRef>
          </c:val>
        </c:ser>
        <c:dLbls>
          <c:showLegendKey val="0"/>
          <c:showVal val="0"/>
          <c:showCatName val="0"/>
          <c:showSerName val="0"/>
          <c:showPercent val="0"/>
          <c:showBubbleSize val="0"/>
        </c:dLbls>
        <c:gapWidth val="21"/>
        <c:overlap val="55"/>
        <c:axId val="280519872"/>
        <c:axId val="280520432"/>
      </c:barChart>
      <c:catAx>
        <c:axId val="280519872"/>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1050" b="0" i="0" u="none" strike="noStrike" kern="1200" baseline="0">
                <a:solidFill>
                  <a:schemeClr val="tx1"/>
                </a:solidFill>
                <a:latin typeface="+mn-ea"/>
                <a:ea typeface="+mn-ea"/>
                <a:cs typeface="+mn-cs"/>
              </a:defRPr>
            </a:pPr>
          </a:p>
        </c:txPr>
        <c:crossAx val="280520432"/>
        <c:crosses val="autoZero"/>
        <c:auto val="1"/>
        <c:lblAlgn val="ctr"/>
        <c:lblOffset val="100"/>
        <c:noMultiLvlLbl val="0"/>
      </c:catAx>
      <c:valAx>
        <c:axId val="280520432"/>
        <c:scaling>
          <c:orientation val="minMax"/>
        </c:scaling>
        <c:delete val="1"/>
        <c:axPos val="l"/>
        <c:numFmt formatCode="0.00%" sourceLinked="1"/>
        <c:majorTickMark val="in"/>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80519872"/>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486284033772887"/>
          <c:y val="0.123025790254479"/>
          <c:w val="0.918863105967176"/>
          <c:h val="0.73287344516718"/>
        </c:manualLayout>
      </c:layout>
      <c:barChart>
        <c:barDir val="col"/>
        <c:grouping val="clustered"/>
        <c:varyColors val="0"/>
        <c:ser>
          <c:idx val="0"/>
          <c:order val="0"/>
          <c:tx>
            <c:strRef>
              <c:f>Sheet1!$B$1</c:f>
              <c:strCache>
                <c:ptCount val="1"/>
                <c:pt idx="0">
                  <c:v>总体</c:v>
                </c:pt>
              </c:strCache>
            </c:strRef>
          </c:tx>
          <c:spPr>
            <a:blipFill dpi="0" rotWithShape="1">
              <a:blip xmlns:r="http://schemas.openxmlformats.org/officeDocument/2006/relationships" r:embed="rId2">
                <a:extLst>
                  <a:ext uri="{28A0092B-C50C-407E-A947-70E740481C1C}">
                    <a14:useLocalDpi xmlns:a14="http://schemas.microsoft.com/office/drawing/2010/main" val="0"/>
                  </a:ext>
                </a:extLst>
              </a:blip>
              <a:srcRect/>
              <a:stretch>
                <a:fillRect/>
              </a:stretch>
            </a:blipFill>
            <a:ln>
              <a:noFill/>
            </a:ln>
            <a:effectLst/>
          </c:spPr>
          <c:invertIfNegative val="0"/>
          <c:dPt>
            <c:idx val="0"/>
            <c:invertIfNegative val="0"/>
            <c:bubble3D val="0"/>
            <c:spPr>
              <a:blipFill dpi="0" rotWithShape="1">
                <a:blip xmlns:r="http://schemas.openxmlformats.org/officeDocument/2006/relationships" r:embed="rId3"/>
                <a:srcRect/>
                <a:stretch>
                  <a:fillRect/>
                </a:stretch>
              </a:blipFill>
              <a:ln>
                <a:noFill/>
              </a:ln>
              <a:effectLst/>
            </c:spPr>
          </c:dPt>
          <c:dPt>
            <c:idx val="1"/>
            <c:invertIfNegative val="0"/>
            <c:bubble3D val="0"/>
            <c:spPr>
              <a:blipFill dpi="0" rotWithShape="1">
                <a:blip xmlns:r="http://schemas.openxmlformats.org/officeDocument/2006/relationships" r:embed="rId4"/>
                <a:srcRect/>
                <a:stretch>
                  <a:fillRect/>
                </a:stretch>
              </a:blipFill>
              <a:ln>
                <a:noFill/>
              </a:ln>
              <a:effectLst/>
            </c:spPr>
          </c:dPt>
          <c:dPt>
            <c:idx val="2"/>
            <c:invertIfNegative val="0"/>
            <c:bubble3D val="0"/>
            <c:spPr>
              <a:blipFill dpi="0" rotWithShape="1">
                <a:blip xmlns:r="http://schemas.openxmlformats.org/officeDocument/2006/relationships" r:embed="rId5"/>
                <a:srcRect/>
                <a:stretch>
                  <a:fillRect/>
                </a:stretch>
              </a:blipFill>
              <a:ln>
                <a:noFill/>
              </a:ln>
              <a:effectLst/>
            </c:spPr>
          </c:dPt>
          <c:dLbls>
            <c:spPr>
              <a:solidFill>
                <a:schemeClr val="bg1"/>
              </a:solidFill>
              <a:ln>
                <a:noFill/>
              </a:ln>
              <a:effectLst/>
            </c:spPr>
            <c:txPr>
              <a:bodyPr rot="0" spcFirstLastPara="1" vertOverflow="ellipsis" vert="horz" wrap="square" lIns="38100" tIns="19050" rIns="38100" bIns="19050" anchor="ctr" anchorCtr="1">
                <a:spAutoFit/>
              </a:bodyPr>
              <a:lstStyle/>
              <a:p>
                <a:pPr>
                  <a:defRPr lang="zh-CN" sz="1050" b="0" i="0" u="none" strike="noStrike" kern="1200" baseline="0">
                    <a:solidFill>
                      <a:schemeClr val="tx1"/>
                    </a:solidFill>
                    <a:latin typeface="Times New Roman" panose="02020603050405020304" charset="0"/>
                    <a:ea typeface="宋体" panose="02010600030101010101"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bg1">
                          <a:lumMod val="65000"/>
                        </a:schemeClr>
                      </a:solidFill>
                      <a:prstDash val="solid"/>
                      <a:round/>
                    </a:ln>
                    <a:effectLst/>
                  </c:spPr>
                </c15:leaderLines>
              </c:ext>
            </c:extLst>
          </c:dLbls>
          <c:cat>
            <c:strRef>
              <c:f>Sheet1!$A$2:$A$4</c:f>
              <c:strCache>
                <c:ptCount val="3"/>
                <c:pt idx="0">
                  <c:v>愿意</c:v>
                </c:pt>
                <c:pt idx="1">
                  <c:v>不确定</c:v>
                </c:pt>
                <c:pt idx="2">
                  <c:v>不愿意</c:v>
                </c:pt>
              </c:strCache>
            </c:strRef>
          </c:cat>
          <c:val>
            <c:numRef>
              <c:f>Sheet1!$B$2:$B$4</c:f>
              <c:numCache>
                <c:formatCode>0.00%</c:formatCode>
                <c:ptCount val="3"/>
                <c:pt idx="0">
                  <c:v>0.6875</c:v>
                </c:pt>
                <c:pt idx="1">
                  <c:v>0.258133561643836</c:v>
                </c:pt>
                <c:pt idx="2">
                  <c:v>0.0543664383561644</c:v>
                </c:pt>
              </c:numCache>
            </c:numRef>
          </c:val>
        </c:ser>
        <c:dLbls>
          <c:showLegendKey val="0"/>
          <c:showVal val="0"/>
          <c:showCatName val="0"/>
          <c:showSerName val="0"/>
          <c:showPercent val="0"/>
          <c:showBubbleSize val="0"/>
        </c:dLbls>
        <c:gapWidth val="21"/>
        <c:overlap val="55"/>
        <c:axId val="280522672"/>
        <c:axId val="280523232"/>
      </c:barChart>
      <c:catAx>
        <c:axId val="280522672"/>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1050" b="0" i="0" u="none" strike="noStrike" kern="1200" baseline="0">
                <a:solidFill>
                  <a:schemeClr val="tx1"/>
                </a:solidFill>
                <a:latin typeface="宋体" panose="02010600030101010101" charset="-122"/>
                <a:ea typeface="宋体" panose="02010600030101010101" charset="-122"/>
                <a:cs typeface="+mn-cs"/>
              </a:defRPr>
            </a:pPr>
          </a:p>
        </c:txPr>
        <c:crossAx val="280523232"/>
        <c:crosses val="autoZero"/>
        <c:auto val="1"/>
        <c:lblAlgn val="ctr"/>
        <c:lblOffset val="100"/>
        <c:noMultiLvlLbl val="0"/>
      </c:catAx>
      <c:valAx>
        <c:axId val="280523232"/>
        <c:scaling>
          <c:orientation val="minMax"/>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80522672"/>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486284033772887"/>
          <c:y val="0.0366314371131416"/>
          <c:w val="0.918863105967176"/>
          <c:h val="0.779281648020729"/>
        </c:manualLayout>
      </c:layout>
      <c:barChart>
        <c:barDir val="col"/>
        <c:grouping val="clustered"/>
        <c:varyColors val="0"/>
        <c:ser>
          <c:idx val="0"/>
          <c:order val="0"/>
          <c:tx>
            <c:strRef>
              <c:f>Sheet1!$B$1</c:f>
              <c:strCache>
                <c:ptCount val="1"/>
                <c:pt idx="0">
                  <c:v>总体</c:v>
                </c:pt>
              </c:strCache>
            </c:strRef>
          </c:tx>
          <c:spPr>
            <a:blipFill dpi="0" rotWithShape="1">
              <a:blip xmlns:r="http://schemas.openxmlformats.org/officeDocument/2006/relationships" r:embed="rId2"/>
              <a:srcRect/>
              <a:stretch>
                <a:fillRect/>
              </a:stretch>
            </a:blipFill>
            <a:ln>
              <a:noFill/>
            </a:ln>
            <a:effectLst/>
          </c:spPr>
          <c:invertIfNegative val="0"/>
          <c:dPt>
            <c:idx val="0"/>
            <c:invertIfNegative val="0"/>
            <c:bubble3D val="0"/>
            <c:spPr>
              <a:blipFill dpi="0" rotWithShape="1">
                <a:blip xmlns:r="http://schemas.openxmlformats.org/officeDocument/2006/relationships" r:embed="rId3"/>
                <a:srcRect/>
                <a:stretch>
                  <a:fillRect/>
                </a:stretch>
              </a:blipFill>
              <a:ln>
                <a:noFill/>
              </a:ln>
              <a:effectLst/>
            </c:spPr>
          </c:dPt>
          <c:dPt>
            <c:idx val="1"/>
            <c:invertIfNegative val="0"/>
            <c:bubble3D val="0"/>
            <c:spPr>
              <a:blipFill dpi="0" rotWithShape="1">
                <a:blip xmlns:r="http://schemas.openxmlformats.org/officeDocument/2006/relationships" r:embed="rId4"/>
                <a:srcRect/>
                <a:stretch>
                  <a:fillRect/>
                </a:stretch>
              </a:blipFill>
              <a:ln>
                <a:noFill/>
              </a:ln>
              <a:effectLst/>
            </c:spPr>
          </c:dPt>
          <c:dPt>
            <c:idx val="2"/>
            <c:invertIfNegative val="0"/>
            <c:bubble3D val="0"/>
            <c:spPr>
              <a:blipFill dpi="0" rotWithShape="1">
                <a:blip xmlns:r="http://schemas.openxmlformats.org/officeDocument/2006/relationships" r:embed="rId5"/>
                <a:srcRect/>
                <a:stretch>
                  <a:fillRect/>
                </a:stretch>
              </a:blipFill>
              <a:ln>
                <a:noFill/>
              </a:ln>
              <a:effectLst/>
            </c:spPr>
          </c:dPt>
          <c:dPt>
            <c:idx val="3"/>
            <c:invertIfNegative val="0"/>
            <c:bubble3D val="0"/>
            <c:spPr>
              <a:blipFill dpi="0" rotWithShape="1">
                <a:blip xmlns:r="http://schemas.openxmlformats.org/officeDocument/2006/relationships" r:embed="rId6"/>
                <a:srcRect/>
                <a:stretch>
                  <a:fillRect/>
                </a:stretch>
              </a:blipFill>
              <a:ln>
                <a:noFill/>
              </a:ln>
              <a:effectLst/>
            </c:spPr>
          </c:dPt>
          <c:dPt>
            <c:idx val="4"/>
            <c:invertIfNegative val="0"/>
            <c:bubble3D val="0"/>
            <c:spPr>
              <a:blipFill dpi="0" rotWithShape="1">
                <a:blip xmlns:r="http://schemas.openxmlformats.org/officeDocument/2006/relationships" r:embed="rId7"/>
                <a:srcRect/>
                <a:stretch>
                  <a:fillRect/>
                </a:stretch>
              </a:blipFill>
              <a:ln>
                <a:noFill/>
              </a:ln>
              <a:effectLst/>
            </c:spPr>
          </c:dPt>
          <c:dLbls>
            <c:spPr>
              <a:solidFill>
                <a:schemeClr val="bg1"/>
              </a:solidFill>
              <a:ln>
                <a:noFill/>
              </a:ln>
              <a:effectLst/>
            </c:spPr>
            <c:txPr>
              <a:bodyPr rot="0" spcFirstLastPara="1" vertOverflow="ellipsis" vert="horz" wrap="square" lIns="38100" tIns="19050" rIns="38100" bIns="19050" anchor="ctr" anchorCtr="1">
                <a:spAutoFit/>
              </a:bodyPr>
              <a:lstStyle/>
              <a:p>
                <a:pPr>
                  <a:defRPr lang="zh-CN" sz="1050" b="0" i="0" u="none" strike="noStrike" kern="1200" baseline="0">
                    <a:solidFill>
                      <a:schemeClr val="tx1"/>
                    </a:solidFill>
                    <a:latin typeface="Times New Roman" panose="02020603050405020304" charset="0"/>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bg1">
                          <a:lumMod val="65000"/>
                        </a:schemeClr>
                      </a:solidFill>
                      <a:prstDash val="solid"/>
                      <a:round/>
                    </a:ln>
                    <a:effectLst/>
                  </c:spPr>
                </c15:leaderLines>
              </c:ext>
            </c:extLst>
          </c:dLbls>
          <c:cat>
            <c:strRef>
              <c:f>Sheet1!$A$2:$A$6</c:f>
              <c:strCache>
                <c:ptCount val="5"/>
                <c:pt idx="0">
                  <c:v>课程目标</c:v>
                </c:pt>
                <c:pt idx="1">
                  <c:v>课堂纪律</c:v>
                </c:pt>
                <c:pt idx="2">
                  <c:v>师生互动</c:v>
                </c:pt>
                <c:pt idx="3">
                  <c:v>反馈指导</c:v>
                </c:pt>
                <c:pt idx="4">
                  <c:v>教学效果</c:v>
                </c:pt>
              </c:strCache>
            </c:strRef>
          </c:cat>
          <c:val>
            <c:numRef>
              <c:f>Sheet1!$B$2:$B$6</c:f>
              <c:numCache>
                <c:formatCode>0.00_);[Red]\(0.00\)</c:formatCode>
                <c:ptCount val="5"/>
                <c:pt idx="0">
                  <c:v>3.83277870216306</c:v>
                </c:pt>
                <c:pt idx="1">
                  <c:v>3.8347245409015</c:v>
                </c:pt>
                <c:pt idx="2">
                  <c:v>3.57458333333333</c:v>
                </c:pt>
                <c:pt idx="3">
                  <c:v>3.58288100208768</c:v>
                </c:pt>
                <c:pt idx="4">
                  <c:v>3.71071279699875</c:v>
                </c:pt>
              </c:numCache>
            </c:numRef>
          </c:val>
        </c:ser>
        <c:dLbls>
          <c:showLegendKey val="0"/>
          <c:showVal val="0"/>
          <c:showCatName val="0"/>
          <c:showSerName val="0"/>
          <c:showPercent val="0"/>
          <c:showBubbleSize val="0"/>
        </c:dLbls>
        <c:gapWidth val="21"/>
        <c:overlap val="55"/>
        <c:axId val="280525472"/>
        <c:axId val="280526032"/>
      </c:barChart>
      <c:catAx>
        <c:axId val="280525472"/>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1050" b="0" i="0" u="none" strike="noStrike" kern="1200" baseline="0">
                <a:solidFill>
                  <a:schemeClr val="tx1"/>
                </a:solidFill>
                <a:latin typeface="+mn-ea"/>
                <a:ea typeface="+mn-ea"/>
                <a:cs typeface="+mn-cs"/>
              </a:defRPr>
            </a:pPr>
          </a:p>
        </c:txPr>
        <c:crossAx val="280526032"/>
        <c:crosses val="autoZero"/>
        <c:auto val="1"/>
        <c:lblAlgn val="ctr"/>
        <c:lblOffset val="100"/>
        <c:noMultiLvlLbl val="0"/>
      </c:catAx>
      <c:valAx>
        <c:axId val="280526032"/>
        <c:scaling>
          <c:orientation val="minMax"/>
          <c:min val="0"/>
        </c:scaling>
        <c:delete val="1"/>
        <c:axPos val="l"/>
        <c:numFmt formatCode="0.00_);[Red]\(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80525472"/>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486284033772887"/>
          <c:y val="0.0366314371131416"/>
          <c:w val="0.918863105967176"/>
          <c:h val="0.779281648020729"/>
        </c:manualLayout>
      </c:layout>
      <c:barChart>
        <c:barDir val="col"/>
        <c:grouping val="clustered"/>
        <c:varyColors val="0"/>
        <c:ser>
          <c:idx val="0"/>
          <c:order val="0"/>
          <c:tx>
            <c:strRef>
              <c:f>Sheet1!$B$1</c:f>
              <c:strCache>
                <c:ptCount val="1"/>
                <c:pt idx="0">
                  <c:v>总体</c:v>
                </c:pt>
              </c:strCache>
            </c:strRef>
          </c:tx>
          <c:spPr>
            <a:blipFill dpi="0" rotWithShape="1">
              <a:blip xmlns:r="http://schemas.openxmlformats.org/officeDocument/2006/relationships" r:embed="rId2"/>
              <a:srcRect/>
              <a:stretch>
                <a:fillRect/>
              </a:stretch>
            </a:blipFill>
            <a:ln>
              <a:noFill/>
            </a:ln>
            <a:effectLst/>
          </c:spPr>
          <c:invertIfNegative val="0"/>
          <c:dPt>
            <c:idx val="0"/>
            <c:invertIfNegative val="0"/>
            <c:bubble3D val="0"/>
            <c:spPr>
              <a:blipFill dpi="0" rotWithShape="1">
                <a:blip xmlns:r="http://schemas.openxmlformats.org/officeDocument/2006/relationships" r:embed="rId3"/>
                <a:srcRect/>
                <a:stretch>
                  <a:fillRect/>
                </a:stretch>
              </a:blipFill>
              <a:ln>
                <a:noFill/>
              </a:ln>
              <a:effectLst/>
            </c:spPr>
          </c:dPt>
          <c:dPt>
            <c:idx val="1"/>
            <c:invertIfNegative val="0"/>
            <c:bubble3D val="0"/>
            <c:spPr>
              <a:blipFill dpi="0" rotWithShape="1">
                <a:blip xmlns:r="http://schemas.openxmlformats.org/officeDocument/2006/relationships" r:embed="rId4"/>
                <a:srcRect/>
                <a:stretch>
                  <a:fillRect/>
                </a:stretch>
              </a:blipFill>
              <a:ln>
                <a:noFill/>
              </a:ln>
              <a:effectLst/>
            </c:spPr>
          </c:dPt>
          <c:dPt>
            <c:idx val="2"/>
            <c:invertIfNegative val="0"/>
            <c:bubble3D val="0"/>
            <c:spPr>
              <a:blipFill dpi="0" rotWithShape="1">
                <a:blip xmlns:r="http://schemas.openxmlformats.org/officeDocument/2006/relationships" r:embed="rId5"/>
                <a:srcRect/>
                <a:stretch>
                  <a:fillRect/>
                </a:stretch>
              </a:blipFill>
              <a:ln>
                <a:noFill/>
              </a:ln>
              <a:effectLst/>
            </c:spPr>
          </c:dPt>
          <c:dPt>
            <c:idx val="3"/>
            <c:invertIfNegative val="0"/>
            <c:bubble3D val="0"/>
            <c:spPr>
              <a:blipFill dpi="0" rotWithShape="1">
                <a:blip xmlns:r="http://schemas.openxmlformats.org/officeDocument/2006/relationships" r:embed="rId6"/>
                <a:srcRect/>
                <a:stretch>
                  <a:fillRect/>
                </a:stretch>
              </a:blipFill>
              <a:ln>
                <a:noFill/>
              </a:ln>
              <a:effectLst/>
            </c:spPr>
          </c:dPt>
          <c:dLbls>
            <c:spPr>
              <a:solidFill>
                <a:schemeClr val="bg1"/>
              </a:solidFill>
              <a:ln>
                <a:noFill/>
              </a:ln>
              <a:effectLst/>
            </c:spPr>
            <c:txPr>
              <a:bodyPr rot="0" spcFirstLastPara="1" vertOverflow="ellipsis" vert="horz" wrap="square" lIns="38100" tIns="19050" rIns="38100" bIns="19050" anchor="ctr" anchorCtr="1">
                <a:spAutoFit/>
              </a:bodyPr>
              <a:lstStyle/>
              <a:p>
                <a:pPr>
                  <a:defRPr lang="zh-CN" sz="1050" b="0" i="0" u="none" strike="noStrike" kern="1200" baseline="0">
                    <a:solidFill>
                      <a:schemeClr val="tx1"/>
                    </a:solidFill>
                    <a:latin typeface="Times New Roman" panose="02020603050405020304" charset="0"/>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bg1">
                          <a:lumMod val="65000"/>
                        </a:schemeClr>
                      </a:solidFill>
                      <a:prstDash val="solid"/>
                      <a:round/>
                    </a:ln>
                    <a:effectLst/>
                  </c:spPr>
                </c15:leaderLines>
              </c:ext>
            </c:extLst>
          </c:dLbls>
          <c:cat>
            <c:strRef>
              <c:f>Sheet1!$A$2:$A$5</c:f>
              <c:strCache>
                <c:ptCount val="4"/>
                <c:pt idx="0">
                  <c:v>实验教学</c:v>
                </c:pt>
                <c:pt idx="1">
                  <c:v>实习实训</c:v>
                </c:pt>
                <c:pt idx="2">
                  <c:v>社会实践</c:v>
                </c:pt>
                <c:pt idx="3">
                  <c:v>毕业论文（设计）</c:v>
                </c:pt>
              </c:strCache>
            </c:strRef>
          </c:cat>
          <c:val>
            <c:numRef>
              <c:f>Sheet1!$B$2:$B$5</c:f>
              <c:numCache>
                <c:formatCode>0.00</c:formatCode>
                <c:ptCount val="4"/>
                <c:pt idx="0">
                  <c:v>3.56687898089172</c:v>
                </c:pt>
                <c:pt idx="1">
                  <c:v>3.57027600849257</c:v>
                </c:pt>
                <c:pt idx="2">
                  <c:v>3.60528559249787</c:v>
                </c:pt>
                <c:pt idx="3">
                  <c:v>3.66709075487701</c:v>
                </c:pt>
              </c:numCache>
            </c:numRef>
          </c:val>
        </c:ser>
        <c:dLbls>
          <c:showLegendKey val="0"/>
          <c:showVal val="0"/>
          <c:showCatName val="0"/>
          <c:showSerName val="0"/>
          <c:showPercent val="0"/>
          <c:showBubbleSize val="0"/>
        </c:dLbls>
        <c:gapWidth val="21"/>
        <c:overlap val="55"/>
        <c:axId val="280528272"/>
        <c:axId val="280528832"/>
      </c:barChart>
      <c:catAx>
        <c:axId val="280528272"/>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1050" b="0" i="0" u="none" strike="noStrike" kern="1200" baseline="0">
                <a:solidFill>
                  <a:schemeClr val="tx1"/>
                </a:solidFill>
                <a:latin typeface="宋体" panose="02010600030101010101" charset="-122"/>
                <a:ea typeface="宋体" panose="02010600030101010101" charset="-122"/>
                <a:cs typeface="+mn-cs"/>
              </a:defRPr>
            </a:pPr>
          </a:p>
        </c:txPr>
        <c:crossAx val="280528832"/>
        <c:crosses val="autoZero"/>
        <c:auto val="1"/>
        <c:lblAlgn val="ctr"/>
        <c:lblOffset val="100"/>
        <c:noMultiLvlLbl val="0"/>
      </c:catAx>
      <c:valAx>
        <c:axId val="280528832"/>
        <c:scaling>
          <c:orientation val="minMax"/>
          <c:min val="0"/>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80528272"/>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93250284013"/>
          <c:y val="0.0993577716661015"/>
          <c:w val="0.809523054021232"/>
          <c:h val="0.760067814489696"/>
        </c:manualLayout>
      </c:layout>
      <c:barChart>
        <c:barDir val="col"/>
        <c:grouping val="clustered"/>
        <c:varyColors val="0"/>
        <c:ser>
          <c:idx val="0"/>
          <c:order val="0"/>
          <c:tx>
            <c:strRef>
              <c:f>Sheet1!$B$1</c:f>
              <c:strCache>
                <c:ptCount val="1"/>
                <c:pt idx="0">
                  <c:v>满意度</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1050" b="0" i="0" u="none" strike="noStrike" kern="1200" baseline="0">
                    <a:solidFill>
                      <a:schemeClr val="bg1"/>
                    </a:solidFill>
                    <a:latin typeface="Times New Roman" panose="02020603050405020304" charset="0"/>
                    <a:ea typeface="+mn-ea"/>
                    <a:cs typeface="+mn-cs"/>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6350" cap="flat" cmpd="sng" algn="ctr">
                      <a:solidFill>
                        <a:schemeClr val="tx1"/>
                      </a:solidFill>
                      <a:prstDash val="solid"/>
                      <a:round/>
                    </a:ln>
                    <a:effectLst/>
                  </c:spPr>
                </c15:leaderLines>
              </c:ext>
            </c:extLst>
          </c:dLbls>
          <c:cat>
            <c:strRef>
              <c:f>Sheet1!$A$2:$A$4</c:f>
              <c:strCache>
                <c:ptCount val="3"/>
                <c:pt idx="0">
                  <c:v>专业课教师教学态度</c:v>
                </c:pt>
                <c:pt idx="1">
                  <c:v>专业课教师教学水平</c:v>
                </c:pt>
                <c:pt idx="2">
                  <c:v>专业课教师总评价</c:v>
                </c:pt>
              </c:strCache>
            </c:strRef>
          </c:cat>
          <c:val>
            <c:numRef>
              <c:f>Sheet1!$B$2:$B$4</c:f>
              <c:numCache>
                <c:formatCode>0.00%</c:formatCode>
                <c:ptCount val="3"/>
                <c:pt idx="0">
                  <c:v>0.968510638297872</c:v>
                </c:pt>
                <c:pt idx="1">
                  <c:v>0.964240102171137</c:v>
                </c:pt>
                <c:pt idx="2">
                  <c:v>0.966375370234504</c:v>
                </c:pt>
              </c:numCache>
            </c:numRef>
          </c:val>
        </c:ser>
        <c:dLbls>
          <c:showLegendKey val="0"/>
          <c:showVal val="0"/>
          <c:showCatName val="0"/>
          <c:showSerName val="0"/>
          <c:showPercent val="0"/>
          <c:showBubbleSize val="0"/>
        </c:dLbls>
        <c:gapWidth val="197"/>
        <c:axId val="281194272"/>
        <c:axId val="281194832"/>
      </c:barChart>
      <c:lineChart>
        <c:grouping val="standard"/>
        <c:varyColors val="0"/>
        <c:ser>
          <c:idx val="1"/>
          <c:order val="1"/>
          <c:tx>
            <c:strRef>
              <c:f>Sheet1!$C$1</c:f>
              <c:strCache>
                <c:ptCount val="1"/>
                <c:pt idx="0">
                  <c:v>均值</c:v>
                </c:pt>
              </c:strCache>
            </c:strRef>
          </c:tx>
          <c:spPr>
            <a:ln w="19050" cap="rnd" cmpd="sng" algn="ctr">
              <a:solidFill>
                <a:schemeClr val="accent2"/>
              </a:solidFill>
              <a:prstDash val="solid"/>
              <a:round/>
            </a:ln>
            <a:effectLst/>
          </c:spPr>
          <c:marker>
            <c:symbol val="circle"/>
            <c:size val="40"/>
            <c:spPr>
              <a:solidFill>
                <a:schemeClr val="bg1"/>
              </a:solidFill>
              <a:ln w="19050" cap="flat" cmpd="sng" algn="ctr">
                <a:solidFill>
                  <a:schemeClr val="accent2"/>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lang="zh-CN" sz="1050" b="0" i="0" u="none" strike="noStrike" kern="1200" baseline="0">
                    <a:solidFill>
                      <a:schemeClr val="tx1"/>
                    </a:solidFill>
                    <a:latin typeface="Times New Roman" panose="02020603050405020304" charset="0"/>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6350" cap="flat" cmpd="sng" algn="ctr">
                      <a:solidFill>
                        <a:schemeClr val="tx1"/>
                      </a:solidFill>
                      <a:prstDash val="solid"/>
                      <a:round/>
                    </a:ln>
                    <a:effectLst/>
                  </c:spPr>
                </c15:leaderLines>
              </c:ext>
            </c:extLst>
          </c:dLbls>
          <c:cat>
            <c:strRef>
              <c:f>Sheet1!$A$2:$A$4</c:f>
              <c:strCache>
                <c:ptCount val="3"/>
                <c:pt idx="0">
                  <c:v>专业课教师教学态度</c:v>
                </c:pt>
                <c:pt idx="1">
                  <c:v>专业课教师教学水平</c:v>
                </c:pt>
                <c:pt idx="2">
                  <c:v>专业课教师总评价</c:v>
                </c:pt>
              </c:strCache>
            </c:strRef>
          </c:cat>
          <c:val>
            <c:numRef>
              <c:f>Sheet1!$C$2:$C$4</c:f>
              <c:numCache>
                <c:formatCode>0.00</c:formatCode>
                <c:ptCount val="3"/>
                <c:pt idx="0">
                  <c:v>4.01957446808511</c:v>
                </c:pt>
                <c:pt idx="1">
                  <c:v>3.98169433801618</c:v>
                </c:pt>
                <c:pt idx="2">
                  <c:v>4.00063440305064</c:v>
                </c:pt>
              </c:numCache>
            </c:numRef>
          </c:val>
          <c:smooth val="0"/>
        </c:ser>
        <c:dLbls>
          <c:showLegendKey val="0"/>
          <c:showVal val="0"/>
          <c:showCatName val="0"/>
          <c:showSerName val="0"/>
          <c:showPercent val="0"/>
          <c:showBubbleSize val="0"/>
        </c:dLbls>
        <c:marker val="1"/>
        <c:smooth val="0"/>
        <c:axId val="281195952"/>
        <c:axId val="281195392"/>
      </c:lineChart>
      <c:catAx>
        <c:axId val="281194272"/>
        <c:scaling>
          <c:orientation val="minMax"/>
        </c:scaling>
        <c:delete val="0"/>
        <c:axPos val="b"/>
        <c:numFmt formatCode="General" sourceLinked="1"/>
        <c:majorTickMark val="none"/>
        <c:minorTickMark val="none"/>
        <c:tickLblPos val="nextTo"/>
        <c:spPr>
          <a:noFill/>
          <a:ln w="19050" cap="flat" cmpd="sng" algn="ctr">
            <a:solidFill>
              <a:schemeClr val="accent2"/>
            </a:solidFill>
            <a:prstDash val="solid"/>
            <a:round/>
          </a:ln>
          <a:effectLst/>
        </c:spPr>
        <c:txPr>
          <a:bodyPr rot="-60000000" spcFirstLastPara="1" vertOverflow="ellipsis" vert="horz" wrap="square" anchor="ctr" anchorCtr="1"/>
          <a:lstStyle/>
          <a:p>
            <a:pPr>
              <a:defRPr lang="zh-CN" sz="1050" b="0" i="0" u="none" strike="noStrike" kern="1200" baseline="0">
                <a:solidFill>
                  <a:schemeClr val="tx1"/>
                </a:solidFill>
                <a:latin typeface="宋体" panose="02010600030101010101" charset="-122"/>
                <a:ea typeface="宋体" panose="02010600030101010101" charset="-122"/>
                <a:cs typeface="+mn-cs"/>
              </a:defRPr>
            </a:pPr>
          </a:p>
        </c:txPr>
        <c:crossAx val="281194832"/>
        <c:crosses val="autoZero"/>
        <c:auto val="1"/>
        <c:lblAlgn val="ctr"/>
        <c:lblOffset val="100"/>
        <c:noMultiLvlLbl val="0"/>
      </c:catAx>
      <c:valAx>
        <c:axId val="281194832"/>
        <c:scaling>
          <c:orientation val="minMax"/>
          <c:max val="1"/>
          <c:min val="0"/>
        </c:scaling>
        <c:delete val="0"/>
        <c:axPos val="l"/>
        <c:numFmt formatCode="0.00%" sourceLinked="1"/>
        <c:majorTickMark val="in"/>
        <c:minorTickMark val="none"/>
        <c:tickLblPos val="nextTo"/>
        <c:spPr>
          <a:noFill/>
          <a:ln w="15875" cap="flat" cmpd="sng" algn="ctr">
            <a:solidFill>
              <a:schemeClr val="accent2"/>
            </a:solidFill>
            <a:prstDash val="solid"/>
            <a:round/>
          </a:ln>
          <a:effectLst/>
        </c:spPr>
        <c:txPr>
          <a:bodyPr rot="-60000000" spcFirstLastPara="1"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mn-cs"/>
              </a:defRPr>
            </a:pPr>
          </a:p>
        </c:txPr>
        <c:crossAx val="281194272"/>
        <c:crosses val="autoZero"/>
        <c:crossBetween val="between"/>
        <c:majorUnit val="0.2"/>
      </c:valAx>
      <c:catAx>
        <c:axId val="281195952"/>
        <c:scaling>
          <c:orientation val="minMax"/>
        </c:scaling>
        <c:delete val="1"/>
        <c:axPos val="b"/>
        <c:numFmt formatCode="General" sourceLinked="1"/>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81195392"/>
        <c:crosses val="autoZero"/>
        <c:auto val="1"/>
        <c:lblAlgn val="ctr"/>
        <c:lblOffset val="100"/>
        <c:noMultiLvlLbl val="0"/>
      </c:catAx>
      <c:valAx>
        <c:axId val="281195392"/>
        <c:scaling>
          <c:orientation val="minMax"/>
          <c:max val="5"/>
          <c:min val="0"/>
        </c:scaling>
        <c:delete val="0"/>
        <c:axPos val="r"/>
        <c:numFmt formatCode="0.00" sourceLinked="1"/>
        <c:majorTickMark val="in"/>
        <c:minorTickMark val="none"/>
        <c:tickLblPos val="nextTo"/>
        <c:spPr>
          <a:noFill/>
          <a:ln w="15875" cap="flat" cmpd="sng" algn="ctr">
            <a:solidFill>
              <a:schemeClr val="accent2"/>
            </a:solidFill>
            <a:prstDash val="solid"/>
            <a:round/>
          </a:ln>
          <a:effectLst/>
        </c:spPr>
        <c:txPr>
          <a:bodyPr rot="-60000000" spcFirstLastPara="1"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mn-cs"/>
              </a:defRPr>
            </a:pPr>
          </a:p>
        </c:txPr>
        <c:crossAx val="281195952"/>
        <c:crosses val="max"/>
        <c:crossBetween val="between"/>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582882619125"/>
          <c:y val="0.101465598050244"/>
          <c:w val="0.773300049822539"/>
          <c:h val="0.736601114698348"/>
        </c:manualLayout>
      </c:layout>
      <c:barChart>
        <c:barDir val="col"/>
        <c:grouping val="clustered"/>
        <c:varyColors val="0"/>
        <c:ser>
          <c:idx val="0"/>
          <c:order val="0"/>
          <c:tx>
            <c:strRef>
              <c:f>Sheet1!$B$1</c:f>
              <c:strCache>
                <c:ptCount val="1"/>
                <c:pt idx="0">
                  <c:v>满意度</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1050" b="0" i="0" u="none" strike="noStrike" kern="1200" baseline="0">
                    <a:solidFill>
                      <a:schemeClr val="bg1"/>
                    </a:solidFill>
                    <a:latin typeface="Times New Roman" panose="02020603050405020304" charset="0"/>
                    <a:ea typeface="宋体" panose="02010600030101010101" charset="-122"/>
                    <a:cs typeface="Times New Roman" panose="02020603050405020304" charset="0"/>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6350" cap="flat" cmpd="sng" algn="ctr">
                      <a:solidFill>
                        <a:schemeClr val="tx1"/>
                      </a:solidFill>
                      <a:prstDash val="solid"/>
                      <a:round/>
                    </a:ln>
                    <a:effectLst/>
                  </c:spPr>
                </c15:leaderLines>
              </c:ext>
            </c:extLst>
          </c:dLbls>
          <c:cat>
            <c:strRef>
              <c:f>Sheet1!$A$2:$A$4</c:f>
              <c:strCache>
                <c:ptCount val="3"/>
                <c:pt idx="0">
                  <c:v>公共课教师教学态度</c:v>
                </c:pt>
                <c:pt idx="1">
                  <c:v>公共课教师教学水平</c:v>
                </c:pt>
                <c:pt idx="2">
                  <c:v>公共课教师总评价</c:v>
                </c:pt>
              </c:strCache>
            </c:strRef>
          </c:cat>
          <c:val>
            <c:numRef>
              <c:f>Sheet1!$B$2:$B$4</c:f>
              <c:numCache>
                <c:formatCode>0.00%</c:formatCode>
                <c:ptCount val="3"/>
                <c:pt idx="0">
                  <c:v>0.962962962962963</c:v>
                </c:pt>
                <c:pt idx="1">
                  <c:v>0.966354344122658</c:v>
                </c:pt>
                <c:pt idx="2">
                  <c:v>0.96465865354281</c:v>
                </c:pt>
              </c:numCache>
            </c:numRef>
          </c:val>
        </c:ser>
        <c:dLbls>
          <c:showLegendKey val="0"/>
          <c:showVal val="0"/>
          <c:showCatName val="0"/>
          <c:showSerName val="0"/>
          <c:showPercent val="0"/>
          <c:showBubbleSize val="0"/>
        </c:dLbls>
        <c:gapWidth val="182"/>
        <c:axId val="281198752"/>
        <c:axId val="281199312"/>
      </c:barChart>
      <c:lineChart>
        <c:grouping val="standard"/>
        <c:varyColors val="0"/>
        <c:ser>
          <c:idx val="1"/>
          <c:order val="1"/>
          <c:tx>
            <c:strRef>
              <c:f>Sheet1!$C$1</c:f>
              <c:strCache>
                <c:ptCount val="1"/>
                <c:pt idx="0">
                  <c:v>均值</c:v>
                </c:pt>
              </c:strCache>
            </c:strRef>
          </c:tx>
          <c:spPr>
            <a:ln w="19050" cap="rnd" cmpd="sng" algn="ctr">
              <a:solidFill>
                <a:schemeClr val="accent2"/>
              </a:solidFill>
              <a:prstDash val="solid"/>
              <a:round/>
            </a:ln>
            <a:effectLst/>
          </c:spPr>
          <c:marker>
            <c:symbol val="circle"/>
            <c:size val="40"/>
            <c:spPr>
              <a:solidFill>
                <a:schemeClr val="bg1"/>
              </a:solidFill>
              <a:ln w="19050" cap="flat" cmpd="sng" algn="ctr">
                <a:solidFill>
                  <a:schemeClr val="accent2"/>
                </a:solidFill>
                <a:prstDash val="solid"/>
                <a:round/>
              </a:ln>
              <a:effectLst/>
            </c:spPr>
          </c:marker>
          <c:dLbls>
            <c:spPr>
              <a:noFill/>
              <a:ln>
                <a:noFill/>
              </a:ln>
              <a:effectLst/>
            </c:spPr>
            <c:txPr>
              <a:bodyPr rot="0" spcFirstLastPara="1" vertOverflow="ellipsis" vert="horz" wrap="square" lIns="38100" tIns="19050" rIns="38100" bIns="19050" anchor="ctr" anchorCtr="1"/>
              <a:lstStyle/>
              <a:p>
                <a:pPr>
                  <a:defRPr lang="zh-CN" sz="105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6350" cap="flat" cmpd="sng" algn="ctr">
                      <a:solidFill>
                        <a:schemeClr val="tx1"/>
                      </a:solidFill>
                      <a:prstDash val="solid"/>
                      <a:round/>
                    </a:ln>
                    <a:effectLst/>
                  </c:spPr>
                </c15:leaderLines>
              </c:ext>
            </c:extLst>
          </c:dLbls>
          <c:cat>
            <c:strRef>
              <c:f>Sheet1!$A$2:$A$4</c:f>
              <c:strCache>
                <c:ptCount val="3"/>
                <c:pt idx="0">
                  <c:v>公共课教师教学态度</c:v>
                </c:pt>
                <c:pt idx="1">
                  <c:v>公共课教师教学水平</c:v>
                </c:pt>
                <c:pt idx="2">
                  <c:v>公共课教师总评价</c:v>
                </c:pt>
              </c:strCache>
            </c:strRef>
          </c:cat>
          <c:val>
            <c:numRef>
              <c:f>Sheet1!$C$2:$C$4</c:f>
              <c:numCache>
                <c:formatCode>0.00</c:formatCode>
                <c:ptCount val="3"/>
                <c:pt idx="0">
                  <c:v>3.9174116645381</c:v>
                </c:pt>
                <c:pt idx="1">
                  <c:v>3.92930153321976</c:v>
                </c:pt>
                <c:pt idx="2">
                  <c:v>3.92335659887893</c:v>
                </c:pt>
              </c:numCache>
            </c:numRef>
          </c:val>
          <c:smooth val="0"/>
        </c:ser>
        <c:dLbls>
          <c:showLegendKey val="0"/>
          <c:showVal val="0"/>
          <c:showCatName val="0"/>
          <c:showSerName val="0"/>
          <c:showPercent val="0"/>
          <c:showBubbleSize val="0"/>
        </c:dLbls>
        <c:marker val="1"/>
        <c:smooth val="0"/>
        <c:axId val="281200432"/>
        <c:axId val="281199872"/>
      </c:lineChart>
      <c:catAx>
        <c:axId val="281198752"/>
        <c:scaling>
          <c:orientation val="minMax"/>
        </c:scaling>
        <c:delete val="0"/>
        <c:axPos val="b"/>
        <c:numFmt formatCode="General" sourceLinked="1"/>
        <c:majorTickMark val="none"/>
        <c:minorTickMark val="none"/>
        <c:tickLblPos val="nextTo"/>
        <c:spPr>
          <a:noFill/>
          <a:ln w="19050" cap="flat" cmpd="sng" algn="ctr">
            <a:solidFill>
              <a:schemeClr val="accent2"/>
            </a:solidFill>
            <a:prstDash val="solid"/>
            <a:round/>
          </a:ln>
          <a:effectLst/>
        </c:spPr>
        <c:txPr>
          <a:bodyPr rot="-60000000" spcFirstLastPara="1" vertOverflow="ellipsis" vert="horz" wrap="square" anchor="ctr" anchorCtr="1"/>
          <a:lstStyle/>
          <a:p>
            <a:pPr>
              <a:defRPr lang="zh-CN" sz="1050" b="0" i="0" u="none" strike="noStrike" kern="1200" baseline="0">
                <a:solidFill>
                  <a:schemeClr val="tx1"/>
                </a:solidFill>
                <a:latin typeface="宋体" panose="02010600030101010101" charset="-122"/>
                <a:ea typeface="宋体" panose="02010600030101010101" charset="-122"/>
                <a:cs typeface="+mn-cs"/>
              </a:defRPr>
            </a:pPr>
          </a:p>
        </c:txPr>
        <c:crossAx val="281199312"/>
        <c:crosses val="autoZero"/>
        <c:auto val="1"/>
        <c:lblAlgn val="ctr"/>
        <c:lblOffset val="100"/>
        <c:noMultiLvlLbl val="0"/>
      </c:catAx>
      <c:valAx>
        <c:axId val="281199312"/>
        <c:scaling>
          <c:orientation val="minMax"/>
          <c:max val="1"/>
          <c:min val="0"/>
        </c:scaling>
        <c:delete val="0"/>
        <c:axPos val="l"/>
        <c:numFmt formatCode="0.00%" sourceLinked="1"/>
        <c:majorTickMark val="in"/>
        <c:minorTickMark val="none"/>
        <c:tickLblPos val="nextTo"/>
        <c:spPr>
          <a:noFill/>
          <a:ln w="15875" cap="flat" cmpd="sng" algn="ctr">
            <a:solidFill>
              <a:schemeClr val="accent2"/>
            </a:solidFill>
            <a:prstDash val="solid"/>
            <a:round/>
          </a:ln>
          <a:effectLst/>
        </c:spPr>
        <c:txPr>
          <a:bodyPr rot="-60000000" spcFirstLastPara="1" vertOverflow="ellipsis" vert="horz" wrap="square" anchor="ctr" anchorCtr="1"/>
          <a:lstStyle/>
          <a:p>
            <a:pPr>
              <a:defRPr lang="zh-CN" sz="105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281198752"/>
        <c:crosses val="autoZero"/>
        <c:crossBetween val="between"/>
        <c:majorUnit val="0.2"/>
      </c:valAx>
      <c:catAx>
        <c:axId val="281200432"/>
        <c:scaling>
          <c:orientation val="minMax"/>
        </c:scaling>
        <c:delete val="1"/>
        <c:axPos val="b"/>
        <c:numFmt formatCode="General" sourceLinked="1"/>
        <c:majorTickMark val="none"/>
        <c:minorTickMark val="none"/>
        <c:tickLblPos val="none"/>
        <c:txPr>
          <a:bodyPr rot="-60000000" spcFirstLastPara="0" vertOverflow="ellipsis" vert="horz" wrap="square" anchor="ctr" anchorCtr="1"/>
          <a:lstStyle/>
          <a:p>
            <a:pPr>
              <a:defRPr lang="zh-CN" sz="1050" b="0" i="0" u="none" strike="noStrike" kern="1200" baseline="0">
                <a:solidFill>
                  <a:schemeClr val="tx1"/>
                </a:solidFill>
                <a:latin typeface="宋体" panose="02010600030101010101" charset="-122"/>
                <a:ea typeface="宋体" panose="02010600030101010101" charset="-122"/>
                <a:cs typeface="+mn-cs"/>
              </a:defRPr>
            </a:pPr>
          </a:p>
        </c:txPr>
        <c:crossAx val="281199872"/>
        <c:crosses val="autoZero"/>
        <c:auto val="1"/>
        <c:lblAlgn val="ctr"/>
        <c:lblOffset val="100"/>
        <c:noMultiLvlLbl val="0"/>
      </c:catAx>
      <c:valAx>
        <c:axId val="281199872"/>
        <c:scaling>
          <c:orientation val="minMax"/>
          <c:max val="5"/>
          <c:min val="0"/>
        </c:scaling>
        <c:delete val="0"/>
        <c:axPos val="r"/>
        <c:numFmt formatCode="0.00" sourceLinked="1"/>
        <c:majorTickMark val="in"/>
        <c:minorTickMark val="none"/>
        <c:tickLblPos val="nextTo"/>
        <c:spPr>
          <a:noFill/>
          <a:ln w="15875" cap="flat" cmpd="sng" algn="ctr">
            <a:solidFill>
              <a:schemeClr val="accent2"/>
            </a:solidFill>
            <a:prstDash val="solid"/>
            <a:round/>
          </a:ln>
          <a:effectLst/>
        </c:spPr>
        <c:txPr>
          <a:bodyPr rot="-60000000" spcFirstLastPara="1" vertOverflow="ellipsis" vert="horz" wrap="square" anchor="ctr" anchorCtr="1"/>
          <a:lstStyle/>
          <a:p>
            <a:pPr>
              <a:defRPr lang="zh-CN" sz="1050" b="0" i="0" u="none" strike="noStrike" kern="1200" baseline="0">
                <a:solidFill>
                  <a:schemeClr val="tx1"/>
                </a:solidFill>
                <a:latin typeface="Times New Roman" panose="02020603050405020304" charset="0"/>
                <a:ea typeface="宋体" panose="02010600030101010101" charset="-122"/>
                <a:cs typeface="Times New Roman" panose="02020603050405020304" charset="0"/>
              </a:defRPr>
            </a:pPr>
          </a:p>
        </c:txPr>
        <c:crossAx val="281200432"/>
        <c:crosses val="max"/>
        <c:crossBetween val="between"/>
        <c:majorUnit val="1"/>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sz="1050">
          <a:latin typeface="宋体" panose="02010600030101010101" charset="-122"/>
          <a:ea typeface="宋体" panose="02010600030101010101" charset="-122"/>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58388050330918"/>
          <c:y val="0.00111452735074782"/>
          <c:w val="0.818247660902852"/>
          <c:h val="0.96361488904796"/>
        </c:manualLayout>
      </c:layout>
      <c:barChart>
        <c:barDir val="bar"/>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1050" b="0" i="0" u="none" strike="noStrike" kern="1200" baseline="0">
                    <a:solidFill>
                      <a:schemeClr val="tx1"/>
                    </a:solidFill>
                    <a:latin typeface="Times New Roman" panose="02020603050405020304" charset="0"/>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6350" cap="flat" cmpd="sng" algn="ctr">
                      <a:solidFill>
                        <a:schemeClr val="tx1"/>
                      </a:solidFill>
                      <a:prstDash val="solid"/>
                      <a:round/>
                    </a:ln>
                    <a:effectLst/>
                  </c:spPr>
                </c15:leaderLines>
              </c:ext>
            </c:extLst>
          </c:dLbls>
          <c:cat>
            <c:strRef>
              <c:f>Sheet1!$A$2:$A$10</c:f>
              <c:strCache>
                <c:ptCount val="9"/>
                <c:pt idx="0">
                  <c:v>其他</c:v>
                </c:pt>
                <c:pt idx="1">
                  <c:v>准备出国出境学习或工作</c:v>
                </c:pt>
                <c:pt idx="2">
                  <c:v>已确定创业项目和方向，正在进行创业的各项前期准备及筹建工作</c:v>
                </c:pt>
                <c:pt idx="3">
                  <c:v>准备应征入伍</c:v>
                </c:pt>
                <c:pt idx="4">
                  <c:v>暂时不想就业</c:v>
                </c:pt>
                <c:pt idx="5">
                  <c:v>已确定就业意向，近期准备签订协议或合同</c:v>
                </c:pt>
                <c:pt idx="6">
                  <c:v>正在选择就业单位中</c:v>
                </c:pt>
                <c:pt idx="7">
                  <c:v>准备参加公务员、事业单位等公开招录考试</c:v>
                </c:pt>
                <c:pt idx="8">
                  <c:v>准备升学考试</c:v>
                </c:pt>
              </c:strCache>
            </c:strRef>
          </c:cat>
          <c:val>
            <c:numRef>
              <c:f>Sheet1!$B$2:$B$10</c:f>
              <c:numCache>
                <c:formatCode>0.00%</c:formatCode>
                <c:ptCount val="9"/>
                <c:pt idx="0">
                  <c:v>0.0637065637065637</c:v>
                </c:pt>
                <c:pt idx="1">
                  <c:v>0.00193050193050193</c:v>
                </c:pt>
                <c:pt idx="2">
                  <c:v>0.00386100386100386</c:v>
                </c:pt>
                <c:pt idx="3">
                  <c:v>0.0135135135135135</c:v>
                </c:pt>
                <c:pt idx="4">
                  <c:v>0.0521235521235521</c:v>
                </c:pt>
                <c:pt idx="5">
                  <c:v>0.0772200772200772</c:v>
                </c:pt>
                <c:pt idx="6">
                  <c:v>0.194980694980695</c:v>
                </c:pt>
                <c:pt idx="7">
                  <c:v>0.202702702702703</c:v>
                </c:pt>
                <c:pt idx="8">
                  <c:v>0.38996138996139</c:v>
                </c:pt>
              </c:numCache>
            </c:numRef>
          </c:val>
        </c:ser>
        <c:ser>
          <c:idx val="1"/>
          <c:order val="1"/>
          <c:tx>
            <c:strRef>
              <c:f>Sheet1!$C$1</c:f>
              <c:strCache>
                <c:ptCount val="1"/>
                <c:pt idx="0">
                  <c:v>列1</c:v>
                </c:pt>
              </c:strCache>
            </c:strRef>
          </c:tx>
          <c:spPr>
            <a:solidFill>
              <a:schemeClr val="accent2"/>
            </a:solidFill>
            <a:ln>
              <a:noFill/>
            </a:ln>
            <a:effectLst/>
          </c:spPr>
          <c:invertIfNegative val="0"/>
          <c:dLbls>
            <c:spPr>
              <a:noFill/>
              <a:ln>
                <a:noFill/>
              </a:ln>
              <a:effectLst/>
            </c:spPr>
            <c:txPr>
              <a:bodyPr rot="0" spcFirstLastPara="1" vertOverflow="overflow" horzOverflow="overflow" vert="horz" wrap="none" lIns="38100" tIns="19050" rIns="38100" bIns="19050" anchor="ctr" anchorCtr="0">
                <a:spAutoFit/>
              </a:bodyPr>
              <a:lstStyle/>
              <a:p>
                <a:pPr algn="l">
                  <a:defRPr lang="zh-CN" sz="1050" b="0" i="0" u="none" strike="noStrike" kern="1200" baseline="0">
                    <a:solidFill>
                      <a:sysClr val="windowText" lastClr="000000"/>
                    </a:solidFill>
                    <a:latin typeface="宋体" panose="02010600030101010101" charset="-122"/>
                    <a:ea typeface="宋体" panose="02010600030101010101" charset="-122"/>
                    <a:cs typeface="+mn-cs"/>
                  </a:defRPr>
                </a:pPr>
              </a:p>
            </c:txPr>
            <c:dLblPos val="inBase"/>
            <c:showLegendKey val="0"/>
            <c:showVal val="0"/>
            <c:showCatName val="1"/>
            <c:showSerName val="0"/>
            <c:showPercent val="0"/>
            <c:showBubbleSize val="0"/>
            <c:showLeaderLines val="0"/>
            <c:extLst>
              <c:ext xmlns:c15="http://schemas.microsoft.com/office/drawing/2012/chart" uri="{CE6537A1-D6FC-4f65-9D91-7224C49458BB}">
                <c15:layout/>
                <c15:showLeaderLines val="1"/>
                <c15:leaderLines>
                  <c:spPr>
                    <a:ln w="6350" cap="flat" cmpd="sng" algn="ctr">
                      <a:solidFill>
                        <a:schemeClr val="tx1"/>
                      </a:solidFill>
                      <a:prstDash val="solid"/>
                      <a:round/>
                    </a:ln>
                    <a:effectLst/>
                  </c:spPr>
                </c15:leaderLines>
              </c:ext>
            </c:extLst>
          </c:dLbls>
          <c:cat>
            <c:strRef>
              <c:f>Sheet1!$A$2:$A$10</c:f>
              <c:strCache>
                <c:ptCount val="9"/>
                <c:pt idx="0">
                  <c:v>其他</c:v>
                </c:pt>
                <c:pt idx="1">
                  <c:v>准备出国出境学习或工作</c:v>
                </c:pt>
                <c:pt idx="2">
                  <c:v>已确定创业项目和方向，正在进行创业的各项前期准备及筹建工作</c:v>
                </c:pt>
                <c:pt idx="3">
                  <c:v>准备应征入伍</c:v>
                </c:pt>
                <c:pt idx="4">
                  <c:v>暂时不想就业</c:v>
                </c:pt>
                <c:pt idx="5">
                  <c:v>已确定就业意向，近期准备签订协议或合同</c:v>
                </c:pt>
                <c:pt idx="6">
                  <c:v>正在选择就业单位中</c:v>
                </c:pt>
                <c:pt idx="7">
                  <c:v>准备参加公务员、事业单位等公开招录考试</c:v>
                </c:pt>
                <c:pt idx="8">
                  <c:v>准备升学考试</c:v>
                </c:pt>
              </c:strCache>
            </c:strRef>
          </c:cat>
          <c:val>
            <c:numRef>
              <c:f>Sheet1!$C$2:$C$10</c:f>
              <c:numCache>
                <c:formatCode>0.00%</c:formatCode>
                <c:ptCount val="9"/>
                <c:pt idx="0">
                  <c:v>0</c:v>
                </c:pt>
                <c:pt idx="1">
                  <c:v>0</c:v>
                </c:pt>
                <c:pt idx="2">
                  <c:v>0</c:v>
                </c:pt>
                <c:pt idx="3">
                  <c:v>0</c:v>
                </c:pt>
                <c:pt idx="4">
                  <c:v>0</c:v>
                </c:pt>
                <c:pt idx="5">
                  <c:v>0</c:v>
                </c:pt>
                <c:pt idx="6">
                  <c:v>0</c:v>
                </c:pt>
                <c:pt idx="7">
                  <c:v>0</c:v>
                </c:pt>
                <c:pt idx="8">
                  <c:v>0</c:v>
                </c:pt>
              </c:numCache>
            </c:numRef>
          </c:val>
        </c:ser>
        <c:dLbls>
          <c:showLegendKey val="0"/>
          <c:showVal val="0"/>
          <c:showCatName val="0"/>
          <c:showSerName val="0"/>
          <c:showPercent val="0"/>
          <c:showBubbleSize val="0"/>
        </c:dLbls>
        <c:gapWidth val="30"/>
        <c:overlap val="-14"/>
        <c:axId val="273754112"/>
        <c:axId val="273754672"/>
      </c:barChart>
      <c:catAx>
        <c:axId val="273754112"/>
        <c:scaling>
          <c:orientation val="minMax"/>
        </c:scaling>
        <c:delete val="0"/>
        <c:axPos val="l"/>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0" vertOverflow="ellipsis" vert="horz" wrap="square" anchor="ctr" anchorCtr="1"/>
          <a:lstStyle/>
          <a:p>
            <a:pPr>
              <a:defRPr lang="zh-CN" sz="900" b="0" i="0" u="none" strike="noStrike" kern="1200" baseline="0">
                <a:noFill/>
                <a:latin typeface="+mn-lt"/>
                <a:ea typeface="+mn-ea"/>
                <a:cs typeface="+mn-cs"/>
              </a:defRPr>
            </a:pPr>
          </a:p>
        </c:txPr>
        <c:crossAx val="273754672"/>
        <c:crosses val="autoZero"/>
        <c:auto val="1"/>
        <c:lblAlgn val="ctr"/>
        <c:lblOffset val="100"/>
        <c:tickLblSkip val="1"/>
        <c:noMultiLvlLbl val="0"/>
      </c:catAx>
      <c:valAx>
        <c:axId val="273754672"/>
        <c:scaling>
          <c:orientation val="minMax"/>
          <c:max val="0.4"/>
          <c:min val="0"/>
        </c:scaling>
        <c:delete val="0"/>
        <c:axPos val="b"/>
        <c:numFmt formatCode="0.00%" sourceLinked="1"/>
        <c:majorTickMark val="none"/>
        <c:minorTickMark val="none"/>
        <c:tickLblPos val="none"/>
        <c:spPr>
          <a:noFill/>
          <a:ln w="6350" cap="flat" cmpd="sng" algn="ctr">
            <a:solidFill>
              <a:schemeClr val="bg1"/>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73754112"/>
        <c:crosses val="autoZero"/>
        <c:crossBetween val="between"/>
        <c:majorUnit val="0.05"/>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sz="1000"/>
      </a:pPr>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水平</c:v>
                </c:pt>
              </c:strCache>
            </c:strRef>
          </c:tx>
          <c:spPr>
            <a:ln w="19050" cap="rnd">
              <a:noFill/>
              <a:round/>
            </a:ln>
            <a:effectLst/>
          </c:spPr>
          <c:marker>
            <c:symbol val="circle"/>
            <c:size val="5"/>
            <c:spPr>
              <a:solidFill>
                <a:schemeClr val="accent1"/>
              </a:solidFill>
              <a:ln w="9525">
                <a:solidFill>
                  <a:schemeClr val="accent1"/>
                </a:solidFill>
              </a:ln>
              <a:effectLst/>
            </c:spPr>
          </c:marker>
          <c:dLbls>
            <c:dLbl>
              <c:idx val="0"/>
              <c:layout>
                <c:manualLayout>
                  <c:x val="-0.042031523642732"/>
                  <c:y val="-7.98828825601254e-17"/>
                </c:manualLayout>
              </c:layout>
              <c:tx>
                <c:rich>
                  <a:bodyPr rot="0" spcFirstLastPara="1" vertOverflow="ellipsis" vert="horz" wrap="square" lIns="38100" tIns="19050" rIns="38100" bIns="19050" anchor="ctr" anchorCtr="1"/>
                  <a:lstStyle/>
                  <a:p>
                    <a:fld id="{eedc9b13-fb87-4f74-8e84-efd3efb3e752}"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1"/>
              <c:layout>
                <c:manualLayout>
                  <c:x val="-0.0046296296296298"/>
                  <c:y val="0.00793650793650786"/>
                </c:manualLayout>
              </c:layout>
              <c:tx>
                <c:rich>
                  <a:bodyPr rot="0" spcFirstLastPara="1" vertOverflow="ellipsis" vert="horz" wrap="square" lIns="38100" tIns="19050" rIns="38100" bIns="19050" anchor="ctr" anchorCtr="1"/>
                  <a:lstStyle/>
                  <a:p>
                    <a:fld id="{7f81e9d9-3caf-4ad3-8b90-8d235b7659dd}"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2"/>
              <c:layout/>
              <c:tx>
                <c:rich>
                  <a:bodyPr rot="0" spcFirstLastPara="1" vertOverflow="ellipsis" vert="horz" wrap="square" lIns="38100" tIns="19050" rIns="38100" bIns="19050" anchor="ctr" anchorCtr="1"/>
                  <a:lstStyle/>
                  <a:p>
                    <a:fld id="{bfb0d02d-0874-455c-b502-2dca6cc2a296}"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manualLayout>
                  <c:x val="-0.099537037037037"/>
                  <c:y val="0.0317460317460318"/>
                </c:manualLayout>
              </c:layout>
              <c:tx>
                <c:rich>
                  <a:bodyPr rot="0" spcFirstLastPara="1" vertOverflow="ellipsis" vert="horz" wrap="square" lIns="38100" tIns="19050" rIns="38100" bIns="19050" anchor="ctr" anchorCtr="1"/>
                  <a:lstStyle/>
                  <a:p>
                    <a:fld id="{f29fb899-919c-4db9-9546-688c800840a7}"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4"/>
              <c:layout/>
              <c:tx>
                <c:rich>
                  <a:bodyPr rot="0" spcFirstLastPara="1" vertOverflow="ellipsis" vert="horz" wrap="square" lIns="38100" tIns="19050" rIns="38100" bIns="19050" anchor="ctr" anchorCtr="1"/>
                  <a:lstStyle/>
                  <a:p>
                    <a:fld id="{502d7096-2d4e-48b2-9f4d-f4ae09222e48}"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5"/>
              <c:layout>
                <c:manualLayout>
                  <c:x val="-0.0373613543490952"/>
                  <c:y val="0.0479302832244009"/>
                </c:manualLayout>
              </c:layout>
              <c:tx>
                <c:rich>
                  <a:bodyPr rot="0" spcFirstLastPara="1" vertOverflow="ellipsis" vert="horz" wrap="square" lIns="38100" tIns="19050" rIns="38100" bIns="19050" anchor="ctr" anchorCtr="1"/>
                  <a:lstStyle/>
                  <a:p>
                    <a:fld id="{da45ca0e-2b6a-4425-9fe0-b99837084ac7}"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6"/>
              <c:layout>
                <c:manualLayout>
                  <c:x val="-0.00595115628059632"/>
                  <c:y val="0.01704012488635"/>
                </c:manualLayout>
              </c:layout>
              <c:tx>
                <c:rich>
                  <a:bodyPr rot="0" spcFirstLastPara="1" vertOverflow="ellipsis" vert="horz" wrap="square" lIns="38100" tIns="19050" rIns="38100" bIns="19050" anchor="ctr" anchorCtr="1"/>
                  <a:lstStyle/>
                  <a:p>
                    <a:fld id="{ce133199-3695-4b73-b836-9a1a8ac6fd5a}"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7"/>
              <c:layout/>
              <c:tx>
                <c:rich>
                  <a:bodyPr rot="0" spcFirstLastPara="1" vertOverflow="ellipsis" vert="horz" wrap="square" lIns="38100" tIns="19050" rIns="38100" bIns="19050" anchor="ctr" anchorCtr="1"/>
                  <a:lstStyle/>
                  <a:p>
                    <a:fld id="{961fc8f6-ffdb-4beb-aabc-67f6b522968c}"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r"/>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8"/>
              <c:layout>
                <c:manualLayout>
                  <c:x val="0"/>
                  <c:y val="0.0217864923747277"/>
                </c:manualLayout>
              </c:layout>
              <c:tx>
                <c:rich>
                  <a:bodyPr rot="0" spcFirstLastPara="1" vertOverflow="ellipsis" vert="horz" wrap="square" lIns="38100" tIns="19050" rIns="38100" bIns="19050" anchor="ctr" anchorCtr="1"/>
                  <a:lstStyle/>
                  <a:p>
                    <a:fld id="{2ee0f170-9f4f-485a-afac-642a3aab2eea}"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dLbl>
              <c:idx val="9"/>
              <c:layout>
                <c:manualLayout>
                  <c:x val="-0.00694444444444444"/>
                  <c:y val="-0.00793650793650794"/>
                </c:manualLayout>
              </c:layout>
              <c:tx>
                <c:rich>
                  <a:bodyPr rot="0" spcFirstLastPara="1" vertOverflow="ellipsis" vert="horz" wrap="square" lIns="38100" tIns="19050" rIns="38100" bIns="19050" anchor="ctr" anchorCtr="1"/>
                  <a:lstStyle/>
                  <a:p>
                    <a:fld id="{11b11978-5128-49f3-9dc5-5e2252988553}" type="CELLRANGE">
                      <a:t>[CELLRANGE]</a:t>
                    </a:fld>
                    <a:endParaRPr lang="zh-CN" altLang="en-US" b="0" i="0" u="none" strike="noStrike" baseline="0">
                      <a:latin typeface="Times New Roman" panose="02020603050405020304" charset="0"/>
                      <a:ea typeface="Times New Roman" panose="02020603050405020304" charset="0"/>
                      <a:cs typeface="+mn-ea"/>
                    </a:endParaRPr>
                  </a:p>
                </c:rich>
              </c:tx>
              <c:dLblPos val="r"/>
              <c:showLegendKey val="0"/>
              <c:showVal val="0"/>
              <c:showCatName val="0"/>
              <c:showSerName val="0"/>
              <c:showPercent val="0"/>
              <c:showBubbleSize val="0"/>
              <c:extLst>
                <c:ext xmlns:c15="http://schemas.microsoft.com/office/drawing/2012/chart" uri="{CE6537A1-D6FC-4f65-9D91-7224C49458BB}">
                  <c15:layout/>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lang="zh-CN" sz="1050" b="0" i="0" u="none" strike="noStrike" kern="1200" baseline="0">
                    <a:solidFill>
                      <a:schemeClr val="tx1">
                        <a:lumMod val="75000"/>
                        <a:lumOff val="25000"/>
                      </a:schemeClr>
                    </a:solidFill>
                    <a:latin typeface="+mn-lt"/>
                    <a:ea typeface="宋体" panose="02010600030101010101" charset="-122"/>
                    <a:cs typeface="+mn-cs"/>
                  </a:defRPr>
                </a:pPr>
              </a:p>
            </c:txPr>
            <c:dLblPos val="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15:leaderLines>
                  <c:spPr>
                    <a:ln w="9525" cap="flat" cmpd="sng" algn="ctr">
                      <a:solidFill>
                        <a:schemeClr val="tx1">
                          <a:lumMod val="35000"/>
                          <a:lumOff val="65000"/>
                        </a:schemeClr>
                      </a:solidFill>
                      <a:round/>
                    </a:ln>
                    <a:effectLst/>
                  </c:spPr>
                </c15:leaderLines>
              </c:ext>
            </c:extLst>
          </c:dLbls>
          <c:xVal>
            <c:numRef>
              <c:f>Sheet1!$A$2:$A$11</c:f>
              <c:numCache>
                <c:formatCode>0.00%</c:formatCode>
                <c:ptCount val="10"/>
                <c:pt idx="0">
                  <c:v>0.596983</c:v>
                </c:pt>
                <c:pt idx="1">
                  <c:v>0.510776</c:v>
                </c:pt>
                <c:pt idx="2">
                  <c:v>0.481034</c:v>
                </c:pt>
                <c:pt idx="3">
                  <c:v>0.45</c:v>
                </c:pt>
                <c:pt idx="4">
                  <c:v>0.388793</c:v>
                </c:pt>
                <c:pt idx="5">
                  <c:v>0.337931</c:v>
                </c:pt>
                <c:pt idx="6">
                  <c:v>0.264224</c:v>
                </c:pt>
                <c:pt idx="7">
                  <c:v>0.243534</c:v>
                </c:pt>
                <c:pt idx="8">
                  <c:v>0.200431</c:v>
                </c:pt>
                <c:pt idx="9">
                  <c:v>0.17069</c:v>
                </c:pt>
              </c:numCache>
            </c:numRef>
          </c:xVal>
          <c:yVal>
            <c:numRef>
              <c:f>Sheet1!$B$2:$B$11</c:f>
              <c:numCache>
                <c:formatCode>0.00</c:formatCode>
                <c:ptCount val="10"/>
                <c:pt idx="0">
                  <c:v>3.72</c:v>
                </c:pt>
                <c:pt idx="1">
                  <c:v>2.88</c:v>
                </c:pt>
                <c:pt idx="2">
                  <c:v>3.96</c:v>
                </c:pt>
                <c:pt idx="3">
                  <c:v>3.36</c:v>
                </c:pt>
                <c:pt idx="4">
                  <c:v>3.1</c:v>
                </c:pt>
                <c:pt idx="5">
                  <c:v>4.3</c:v>
                </c:pt>
                <c:pt idx="6">
                  <c:v>3.92</c:v>
                </c:pt>
                <c:pt idx="7">
                  <c:v>4.01</c:v>
                </c:pt>
                <c:pt idx="8">
                  <c:v>3.55</c:v>
                </c:pt>
                <c:pt idx="9">
                  <c:v>3.66</c:v>
                </c:pt>
              </c:numCache>
            </c:numRef>
          </c:yVal>
          <c:smooth val="0"/>
          <c:extLst>
            <c:ext xmlns:c15="http://schemas.microsoft.com/office/drawing/2012/chart" uri="{02D57815-91ED-43cb-92C2-25804820EDAC}">
              <c15:datalabelsRange>
                <c15:f>Sheet1!$C$2:$C$11</c15:f>
                <c15:dlblRangeCache>
                  <c:ptCount val="10"/>
                  <c:pt idx="0">
                    <c:v>逻辑思维</c:v>
                  </c:pt>
                  <c:pt idx="1">
                    <c:v>表达能力</c:v>
                  </c:pt>
                  <c:pt idx="2">
                    <c:v>善于观察</c:v>
                  </c:pt>
                  <c:pt idx="3">
                    <c:v>创新思维</c:v>
                  </c:pt>
                  <c:pt idx="4">
                    <c:v>记忆能力</c:v>
                  </c:pt>
                  <c:pt idx="5">
                    <c:v>团队意识</c:v>
                  </c:pt>
                  <c:pt idx="6">
                    <c:v>阅读理解</c:v>
                  </c:pt>
                  <c:pt idx="7">
                    <c:v>主动学习</c:v>
                  </c:pt>
                  <c:pt idx="8">
                    <c:v>善于倾听</c:v>
                  </c:pt>
                  <c:pt idx="9">
                    <c:v>数学运算</c:v>
                  </c:pt>
                </c15:dlblRangeCache>
              </c15:datalabelsRange>
            </c:ext>
          </c:extLst>
        </c:ser>
        <c:dLbls>
          <c:showLegendKey val="0"/>
          <c:showVal val="0"/>
          <c:showCatName val="0"/>
          <c:showSerName val="0"/>
          <c:showPercent val="0"/>
          <c:showBubbleSize val="0"/>
        </c:dLbls>
        <c:axId val="281202672"/>
        <c:axId val="281203232"/>
      </c:scatterChart>
      <c:valAx>
        <c:axId val="281202672"/>
        <c:scaling>
          <c:orientation val="minMax"/>
          <c:max val="0.6"/>
          <c:min val="0.15"/>
        </c:scaling>
        <c:delete val="0"/>
        <c:axPos val="b"/>
        <c:numFmt formatCode="0.00%" sourceLinked="1"/>
        <c:majorTickMark val="none"/>
        <c:minorTickMark val="none"/>
        <c:tickLblPos val="none"/>
        <c:spPr>
          <a:noFill/>
          <a:ln w="25400" cap="flat" cmpd="sng" algn="ctr">
            <a:solidFill>
              <a:schemeClr val="accent4"/>
            </a:solidFill>
            <a:round/>
            <a:tailEnd type="triangle"/>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81203232"/>
        <c:crossesAt val="3.59"/>
        <c:crossBetween val="midCat"/>
      </c:valAx>
      <c:valAx>
        <c:axId val="281203232"/>
        <c:scaling>
          <c:orientation val="minMax"/>
          <c:min val="2.5"/>
        </c:scaling>
        <c:delete val="0"/>
        <c:axPos val="l"/>
        <c:numFmt formatCode="0.00" sourceLinked="1"/>
        <c:majorTickMark val="none"/>
        <c:minorTickMark val="none"/>
        <c:tickLblPos val="none"/>
        <c:spPr>
          <a:noFill/>
          <a:ln w="25400" cap="flat" cmpd="sng" algn="ctr">
            <a:solidFill>
              <a:schemeClr val="accent4"/>
            </a:solidFill>
            <a:round/>
            <a:tailEnd type="triangle"/>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81202672"/>
        <c:crossesAt val="0.38"/>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912765388038"/>
          <c:y val="0.187259168695664"/>
          <c:w val="0.767783487254614"/>
          <c:h val="0.810725220744725"/>
        </c:manualLayout>
      </c:layout>
      <c:barChart>
        <c:barDir val="bar"/>
        <c:grouping val="clustered"/>
        <c:varyColors val="0"/>
        <c:ser>
          <c:idx val="0"/>
          <c:order val="0"/>
          <c:tx>
            <c:strRef>
              <c:f>Sheet1!$B$1</c:f>
              <c:strCache>
                <c:ptCount val="1"/>
                <c:pt idx="0">
                  <c:v>满足度</c:v>
                </c:pt>
              </c:strCache>
            </c:strRef>
          </c:tx>
          <c:spPr>
            <a:solidFill>
              <a:schemeClr val="accent3"/>
            </a:solidFill>
            <a:ln>
              <a:noFill/>
            </a:ln>
            <a:effectLst/>
          </c:spPr>
          <c:invertIfNegative val="0"/>
          <c:dPt>
            <c:idx val="0"/>
            <c:invertIfNegative val="0"/>
            <c:bubble3D val="0"/>
            <c:spPr>
              <a:solidFill>
                <a:schemeClr val="accent3"/>
              </a:solidFill>
              <a:ln>
                <a:noFill/>
              </a:ln>
              <a:effectLst/>
            </c:spPr>
          </c:dPt>
          <c:dPt>
            <c:idx val="1"/>
            <c:invertIfNegative val="0"/>
            <c:bubble3D val="0"/>
            <c:spPr>
              <a:solidFill>
                <a:schemeClr val="accent3"/>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1050" b="0" i="0" u="none" strike="noStrike" kern="1200" baseline="0">
                    <a:solidFill>
                      <a:schemeClr val="tx1"/>
                    </a:solidFill>
                    <a:latin typeface="Times New Roman" panose="02020603050405020304" charset="0"/>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专业知识</c:v>
                </c:pt>
                <c:pt idx="1">
                  <c:v>专业能力</c:v>
                </c:pt>
              </c:strCache>
            </c:strRef>
          </c:cat>
          <c:val>
            <c:numRef>
              <c:f>Sheet1!$B$2:$B$3</c:f>
              <c:numCache>
                <c:formatCode>0.00%</c:formatCode>
                <c:ptCount val="2"/>
                <c:pt idx="0">
                  <c:v>0.83318661971831</c:v>
                </c:pt>
                <c:pt idx="1">
                  <c:v>0.822261328640563</c:v>
                </c:pt>
              </c:numCache>
            </c:numRef>
          </c:val>
        </c:ser>
        <c:ser>
          <c:idx val="1"/>
          <c:order val="1"/>
          <c:tx>
            <c:strRef>
              <c:f>Sheet1!$C$1</c:f>
              <c:strCache>
                <c:ptCount val="1"/>
                <c:pt idx="0">
                  <c:v>重要度</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1050" b="0" i="0" u="none" strike="noStrike" kern="1200" baseline="0">
                    <a:solidFill>
                      <a:schemeClr val="tx1"/>
                    </a:solidFill>
                    <a:latin typeface="Times New Roman" panose="02020603050405020304" charset="0"/>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专业知识</c:v>
                </c:pt>
                <c:pt idx="1">
                  <c:v>专业能力</c:v>
                </c:pt>
              </c:strCache>
            </c:strRef>
          </c:cat>
          <c:val>
            <c:numRef>
              <c:f>Sheet1!$C$2:$C$3</c:f>
              <c:numCache>
                <c:formatCode>0.00%</c:formatCode>
                <c:ptCount val="2"/>
                <c:pt idx="0">
                  <c:v>0.940156114483955</c:v>
                </c:pt>
                <c:pt idx="1">
                  <c:v>0.944058976582827</c:v>
                </c:pt>
              </c:numCache>
            </c:numRef>
          </c:val>
        </c:ser>
        <c:dLbls>
          <c:showLegendKey val="0"/>
          <c:showVal val="0"/>
          <c:showCatName val="0"/>
          <c:showSerName val="0"/>
          <c:showPercent val="0"/>
          <c:showBubbleSize val="0"/>
        </c:dLbls>
        <c:gapWidth val="182"/>
        <c:overlap val="-20"/>
        <c:axId val="281206032"/>
        <c:axId val="281206592"/>
      </c:barChart>
      <c:catAx>
        <c:axId val="281206032"/>
        <c:scaling>
          <c:orientation val="minMax"/>
        </c:scaling>
        <c:delete val="0"/>
        <c:axPos val="l"/>
        <c:numFmt formatCode="General" sourceLinked="1"/>
        <c:majorTickMark val="none"/>
        <c:minorTickMark val="none"/>
        <c:tickLblPos val="nextTo"/>
        <c:spPr>
          <a:noFill/>
          <a:ln w="19050" cap="flat" cmpd="sng" algn="ctr">
            <a:solidFill>
              <a:schemeClr val="accent1"/>
            </a:solidFill>
            <a:round/>
          </a:ln>
          <a:effectLst/>
        </c:spPr>
        <c:txPr>
          <a:bodyPr rot="-60000000" spcFirstLastPara="1" vertOverflow="ellipsis" vert="horz" wrap="square" anchor="ctr" anchorCtr="1"/>
          <a:lstStyle/>
          <a:p>
            <a:pPr>
              <a:defRPr lang="zh-CN" sz="1050" b="0" i="0" u="none" strike="noStrike" kern="1200" baseline="0">
                <a:solidFill>
                  <a:schemeClr val="tx1"/>
                </a:solidFill>
                <a:latin typeface="+mn-ea"/>
                <a:ea typeface="+mn-ea"/>
                <a:cs typeface="+mn-cs"/>
              </a:defRPr>
            </a:pPr>
          </a:p>
        </c:txPr>
        <c:crossAx val="281206592"/>
        <c:crosses val="autoZero"/>
        <c:auto val="1"/>
        <c:lblAlgn val="ctr"/>
        <c:lblOffset val="100"/>
        <c:noMultiLvlLbl val="0"/>
      </c:catAx>
      <c:valAx>
        <c:axId val="281206592"/>
        <c:scaling>
          <c:orientation val="minMax"/>
          <c:max val="1"/>
          <c:min val="0"/>
        </c:scaling>
        <c:delete val="1"/>
        <c:axPos val="b"/>
        <c:numFmt formatCode="0.00%"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81206032"/>
        <c:crosses val="autoZero"/>
        <c:crossBetween val="between"/>
        <c:majorUnit val="0.2"/>
      </c:valAx>
      <c:spPr>
        <a:noFill/>
        <a:ln>
          <a:noFill/>
        </a:ln>
        <a:effectLst/>
      </c:spPr>
    </c:plotArea>
    <c:legend>
      <c:legendPos val="b"/>
      <c:legendEntry>
        <c:idx val="0"/>
        <c:txPr>
          <a:bodyPr rot="0" spcFirstLastPara="1" vertOverflow="ellipsis" vert="horz" wrap="square" anchor="ctr" anchorCtr="1"/>
          <a:lstStyle/>
          <a:p>
            <a:pPr>
              <a:defRPr lang="zh-CN" sz="1050" b="0" i="0" u="none" strike="noStrike" kern="1200" baseline="0">
                <a:solidFill>
                  <a:schemeClr val="tx1"/>
                </a:solidFill>
                <a:latin typeface="+mn-ea"/>
                <a:ea typeface="+mn-ea"/>
                <a:cs typeface="+mn-cs"/>
              </a:defRPr>
            </a:pPr>
          </a:p>
        </c:txPr>
      </c:legendEntry>
      <c:legendEntry>
        <c:idx val="1"/>
        <c:txPr>
          <a:bodyPr rot="0" spcFirstLastPara="1" vertOverflow="ellipsis" vert="horz" wrap="square" anchor="ctr" anchorCtr="1"/>
          <a:lstStyle/>
          <a:p>
            <a:pPr>
              <a:defRPr lang="zh-CN" sz="1050" b="0" i="0" u="none" strike="noStrike" kern="1200" baseline="0">
                <a:solidFill>
                  <a:schemeClr val="tx1"/>
                </a:solidFill>
                <a:latin typeface="+mn-ea"/>
                <a:ea typeface="+mn-ea"/>
                <a:cs typeface="+mn-cs"/>
              </a:defRPr>
            </a:pPr>
          </a:p>
        </c:txPr>
      </c:legendEntry>
      <c:layout>
        <c:manualLayout>
          <c:xMode val="edge"/>
          <c:yMode val="edge"/>
          <c:x val="0.405174459037616"/>
          <c:y val="0.00641757289160308"/>
          <c:w val="0.213062906847835"/>
          <c:h val="0.11363715899149"/>
        </c:manualLayout>
      </c:layout>
      <c:overlay val="0"/>
      <c:spPr>
        <a:noFill/>
        <a:ln>
          <a:noFill/>
        </a:ln>
        <a:effectLst/>
      </c:spPr>
      <c:txPr>
        <a:bodyPr rot="0" spcFirstLastPara="1" vertOverflow="ellipsis" vert="horz" wrap="square" anchor="ctr" anchorCtr="1"/>
        <a:lstStyle/>
        <a:p>
          <a:pPr>
            <a:defRPr lang="zh-CN" sz="1050" b="0" i="0" u="none" strike="noStrike" kern="1200" baseline="0">
              <a:solidFill>
                <a:schemeClr val="tx1"/>
              </a:solidFill>
              <a:latin typeface="+mn-ea"/>
              <a:ea typeface="+mn-ea"/>
              <a:cs typeface="+mn-cs"/>
            </a:defRPr>
          </a:pPr>
        </a:p>
      </c:txPr>
    </c:legend>
    <c:plotVisOnly val="1"/>
    <c:dispBlanksAs val="gap"/>
    <c:showDLblsOverMax val="0"/>
  </c:chart>
  <c:spPr>
    <a:noFill/>
    <a:ln w="9525" cap="flat" cmpd="sng" algn="ctr">
      <a:noFill/>
      <a:round/>
    </a:ln>
    <a:effectLst/>
  </c:spPr>
  <c:txPr>
    <a:bodyPr/>
    <a:lstStyle/>
    <a:p>
      <a:pPr>
        <a:defRPr lang="zh-CN"/>
      </a:pPr>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4782152230971"/>
          <c:y val="0.149883420049526"/>
          <c:w val="0.41204242326852"/>
          <c:h val="0.713430344175176"/>
        </c:manualLayout>
      </c:layout>
      <c:radarChart>
        <c:radarStyle val="marker"/>
        <c:varyColors val="0"/>
        <c:ser>
          <c:idx val="0"/>
          <c:order val="0"/>
          <c:tx>
            <c:strRef>
              <c:f>Sheet1!$B$1</c:f>
              <c:strCache>
                <c:ptCount val="1"/>
                <c:pt idx="0">
                  <c:v>比例</c:v>
                </c:pt>
              </c:strCache>
            </c:strRef>
          </c:tx>
          <c:spPr>
            <a:ln w="28575" cap="rnd">
              <a:solidFill>
                <a:schemeClr val="tx2"/>
              </a:solidFill>
              <a:prstDash val="sysDash"/>
              <a:round/>
            </a:ln>
            <a:effectLst/>
          </c:spPr>
          <c:marker>
            <c:symbol val="circle"/>
            <c:size val="7"/>
            <c:spPr>
              <a:solidFill>
                <a:schemeClr val="accent4"/>
              </a:solidFill>
              <a:ln w="9525">
                <a:solidFill>
                  <a:schemeClr val="accent2"/>
                </a:solidFill>
              </a:ln>
              <a:effectLst/>
            </c:spPr>
          </c:marker>
          <c:dLbls>
            <c:dLbl>
              <c:idx val="0"/>
              <c:layout>
                <c:manualLayout>
                  <c:x val="-0.00160739933381549"/>
                  <c:y val="-0.0328515743690804"/>
                </c:manualLayout>
              </c:layout>
              <c:numFmt formatCode="General" sourceLinked="1"/>
              <c:spPr>
                <a:noFill/>
                <a:ln>
                  <a:noFill/>
                </a:ln>
                <a:effectLst/>
              </c:spPr>
              <c:txPr>
                <a:bodyPr rot="0" spcFirstLastPara="1" vertOverflow="clip" horzOverflow="clip" vert="horz" wrap="square" lIns="38100" tIns="19050" rIns="38100" bIns="19050" anchor="ctr" anchorCtr="1">
                  <a:noAutofit/>
                </a:bodyPr>
                <a:lstStyle/>
                <a:p>
                  <a:pPr>
                    <a:defRPr lang="zh-CN" sz="105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extLst>
                <c:ext xmlns:c15="http://schemas.microsoft.com/office/drawing/2012/chart" uri="{CE6537A1-D6FC-4f65-9D91-7224C49458BB}">
                  <c15:layout>
                    <c:manualLayout>
                      <c:w val="0.277698190819174"/>
                      <c:h val="0.158611672989608"/>
                    </c:manualLayout>
                  </c15:layout>
                </c:ext>
              </c:extLst>
            </c:dLbl>
            <c:dLbl>
              <c:idx val="1"/>
              <c:layout>
                <c:manualLayout>
                  <c:x val="0.132796780684105"/>
                  <c:y val="-0.0310077519379845"/>
                </c:manualLayout>
              </c:layout>
              <c:showLegendKey val="0"/>
              <c:showVal val="1"/>
              <c:showCatName val="1"/>
              <c:showSerName val="0"/>
              <c:showPercent val="0"/>
              <c:showBubbleSize val="0"/>
              <c:extLst>
                <c:ext xmlns:c15="http://schemas.microsoft.com/office/drawing/2012/chart" uri="{CE6537A1-D6FC-4f65-9D91-7224C49458BB}">
                  <c15:layout>
                    <c:manualLayout>
                      <c:w val="0.232059020791415"/>
                      <c:h val="0.136434108527132"/>
                    </c:manualLayout>
                  </c15:layout>
                </c:ext>
              </c:extLst>
            </c:dLbl>
            <c:dLbl>
              <c:idx val="2"/>
              <c:layout>
                <c:manualLayout>
                  <c:x val="0.130114017437961"/>
                  <c:y val="0.062015503875969"/>
                </c:manualLayout>
              </c:layout>
              <c:showLegendKey val="0"/>
              <c:showVal val="1"/>
              <c:showCatName val="1"/>
              <c:showSerName val="0"/>
              <c:showPercent val="0"/>
              <c:showBubbleSize val="0"/>
              <c:extLst>
                <c:ext xmlns:c15="http://schemas.microsoft.com/office/drawing/2012/chart" uri="{CE6537A1-D6FC-4f65-9D91-7224C49458BB}">
                  <c15:layout>
                    <c:manualLayout>
                      <c:w val="0.252179745137492"/>
                      <c:h val="0.136434108527132"/>
                    </c:manualLayout>
                  </c15:layout>
                </c:ext>
              </c:extLst>
            </c:dLbl>
            <c:dLbl>
              <c:idx val="3"/>
              <c:layout>
                <c:manualLayout>
                  <c:x val="-0.00777400472829877"/>
                  <c:y val="0.0464796117684848"/>
                </c:manualLayout>
              </c:layout>
              <c:showLegendKey val="0"/>
              <c:showVal val="1"/>
              <c:showCatName val="1"/>
              <c:showSerName val="0"/>
              <c:showPercent val="0"/>
              <c:showBubbleSize val="0"/>
              <c:extLst>
                <c:ext xmlns:c15="http://schemas.microsoft.com/office/drawing/2012/chart" uri="{CE6537A1-D6FC-4f65-9D91-7224C49458BB}">
                  <c15:layout>
                    <c:manualLayout>
                      <c:w val="0.253521126760563"/>
                      <c:h val="0.136434108527132"/>
                    </c:manualLayout>
                  </c15:layout>
                </c:ext>
              </c:extLst>
            </c:dLbl>
            <c:dLbl>
              <c:idx val="4"/>
              <c:layout>
                <c:manualLayout>
                  <c:x val="-0.131954520029259"/>
                  <c:y val="-0.0152671755725191"/>
                </c:manualLayout>
              </c:layout>
              <c:showLegendKey val="0"/>
              <c:showVal val="1"/>
              <c:showCatName val="1"/>
              <c:showSerName val="0"/>
              <c:showPercent val="0"/>
              <c:showBubbleSize val="0"/>
              <c:extLst>
                <c:ext xmlns:c15="http://schemas.microsoft.com/office/drawing/2012/chart" uri="{CE6537A1-D6FC-4f65-9D91-7224C49458BB}">
                  <c15:layout>
                    <c:manualLayout>
                      <c:w val="0.266393442622951"/>
                      <c:h val="0.134351145038168"/>
                    </c:manualLayout>
                  </c15:layout>
                </c:ext>
              </c:extLst>
            </c:dLbl>
            <c:dLbl>
              <c:idx val="5"/>
              <c:layout>
                <c:manualLayout>
                  <c:x val="-0.118536422701261"/>
                  <c:y val="-0.0258395944781712"/>
                </c:manualLayout>
              </c:layout>
              <c:showLegendKey val="0"/>
              <c:showVal val="1"/>
              <c:showCatName val="1"/>
              <c:showSerName val="0"/>
              <c:showPercent val="0"/>
              <c:showBubbleSize val="0"/>
              <c:extLst>
                <c:ext xmlns:c15="http://schemas.microsoft.com/office/drawing/2012/chart" uri="{CE6537A1-D6FC-4f65-9D91-7224C49458BB}">
                  <c15:layout>
                    <c:manualLayout>
                      <c:w val="0.254098360655738"/>
                      <c:h val="0.134351145038168"/>
                    </c:manualLayout>
                  </c15:layout>
                </c:ext>
              </c:extLst>
            </c:dLbl>
            <c:spPr>
              <a:noFill/>
              <a:ln>
                <a:noFill/>
              </a:ln>
              <a:effectLst/>
            </c:spPr>
            <c:txPr>
              <a:bodyPr rot="0" spcFirstLastPara="1" vertOverflow="clip" horzOverflow="clip" vert="horz" wrap="square" lIns="38100" tIns="19050" rIns="38100" bIns="19050" anchor="ctr" anchorCtr="1">
                <a:spAutoFit/>
              </a:bodyPr>
              <a:lstStyle/>
              <a:p>
                <a:pPr>
                  <a:defRPr lang="zh-CN" sz="105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Sheet1!$A$2:$A$7</c:f>
              <c:strCache>
                <c:ptCount val="6"/>
                <c:pt idx="0">
                  <c:v>就业手续办理（户口档案迁移等）</c:v>
                </c:pt>
                <c:pt idx="1">
                  <c:v>学校发布的招聘信息</c:v>
                </c:pt>
                <c:pt idx="2">
                  <c:v>生涯规划/就业指导课</c:v>
                </c:pt>
                <c:pt idx="3">
                  <c:v>就业帮扶与推荐</c:v>
                </c:pt>
                <c:pt idx="4">
                  <c:v>校园招聘会/宣讲会</c:v>
                </c:pt>
                <c:pt idx="5">
                  <c:v>职业咨询与辅导</c:v>
                </c:pt>
              </c:strCache>
            </c:strRef>
          </c:cat>
          <c:val>
            <c:numRef>
              <c:f>Sheet1!$B$2:$B$7</c:f>
              <c:numCache>
                <c:formatCode>0.00%</c:formatCode>
                <c:ptCount val="6"/>
                <c:pt idx="0">
                  <c:v>0.952879581151832</c:v>
                </c:pt>
                <c:pt idx="1">
                  <c:v>0.936828534593898</c:v>
                </c:pt>
                <c:pt idx="2">
                  <c:v>0.931847406772396</c:v>
                </c:pt>
                <c:pt idx="3">
                  <c:v>0.930823117338003</c:v>
                </c:pt>
                <c:pt idx="4">
                  <c:v>0.930232558139535</c:v>
                </c:pt>
                <c:pt idx="5">
                  <c:v>0.919758412424504</c:v>
                </c:pt>
              </c:numCache>
            </c:numRef>
          </c:val>
        </c:ser>
        <c:dLbls>
          <c:showLegendKey val="0"/>
          <c:showVal val="0"/>
          <c:showCatName val="0"/>
          <c:showSerName val="0"/>
          <c:showPercent val="0"/>
          <c:showBubbleSize val="0"/>
        </c:dLbls>
        <c:axId val="281208832"/>
        <c:axId val="277373712"/>
      </c:radarChart>
      <c:catAx>
        <c:axId val="28120883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277373712"/>
        <c:crosses val="autoZero"/>
        <c:auto val="1"/>
        <c:lblAlgn val="ctr"/>
        <c:lblOffset val="100"/>
        <c:noMultiLvlLbl val="0"/>
      </c:catAx>
      <c:valAx>
        <c:axId val="277373712"/>
        <c:scaling>
          <c:orientation val="minMax"/>
          <c:max val="1"/>
          <c:min val="0.5"/>
        </c:scaling>
        <c:delete val="1"/>
        <c:axPos val="l"/>
        <c:majorGridlines>
          <c:spPr>
            <a:ln w="9525" cap="flat" cmpd="sng" algn="ctr">
              <a:solidFill>
                <a:schemeClr val="tx1">
                  <a:lumMod val="15000"/>
                  <a:lumOff val="85000"/>
                </a:schemeClr>
              </a:solidFill>
              <a:round/>
            </a:ln>
            <a:effectLst/>
          </c:spPr>
        </c:majorGridlines>
        <c:numFmt formatCode="0.00%" sourceLinked="0"/>
        <c:majorTickMark val="out"/>
        <c:minorTickMark val="none"/>
        <c:tickLblPos val="nextTo"/>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281208832"/>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solidFill>
            <a:sysClr val="windowText" lastClr="000000"/>
          </a:solidFill>
        </a:defRPr>
      </a:pPr>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4782152230971"/>
          <c:y val="0.149883420049526"/>
          <c:w val="0.41204242326852"/>
          <c:h val="0.713430344175176"/>
        </c:manualLayout>
      </c:layout>
      <c:radarChart>
        <c:radarStyle val="marker"/>
        <c:varyColors val="0"/>
        <c:ser>
          <c:idx val="0"/>
          <c:order val="0"/>
          <c:spPr>
            <a:ln w="28575" cap="rnd">
              <a:solidFill>
                <a:schemeClr val="tx2"/>
              </a:solidFill>
              <a:prstDash val="sysDash"/>
              <a:round/>
            </a:ln>
            <a:effectLst/>
          </c:spPr>
          <c:marker>
            <c:symbol val="circle"/>
            <c:size val="7"/>
            <c:spPr>
              <a:solidFill>
                <a:schemeClr val="accent4"/>
              </a:solidFill>
              <a:ln w="9525">
                <a:solidFill>
                  <a:schemeClr val="accent2"/>
                </a:solidFill>
              </a:ln>
              <a:effectLst/>
            </c:spPr>
          </c:marker>
          <c:dLbls>
            <c:dLbl>
              <c:idx val="0"/>
              <c:layout>
                <c:manualLayout>
                  <c:x val="-9.73095623542929e-17"/>
                  <c:y val="-0.0746783443513411"/>
                </c:manualLayout>
              </c:layou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132796808604304"/>
                  <c:y val="0.00207110051240043"/>
                </c:manualLayout>
              </c:layout>
              <c:showLegendKey val="0"/>
              <c:showVal val="1"/>
              <c:showCatName val="1"/>
              <c:showSerName val="0"/>
              <c:showPercent val="0"/>
              <c:showBubbleSize val="0"/>
              <c:extLst>
                <c:ext xmlns:c15="http://schemas.microsoft.com/office/drawing/2012/chart" uri="{CE6537A1-D6FC-4f65-9D91-7224C49458BB}">
                  <c15:layout>
                    <c:manualLayout>
                      <c:w val="0.232059076631814"/>
                      <c:h val="0.202591813427902"/>
                    </c:manualLayout>
                  </c15:layout>
                </c:ext>
              </c:extLst>
            </c:dLbl>
            <c:dLbl>
              <c:idx val="2"/>
              <c:layout>
                <c:manualLayout>
                  <c:x val="0.138310851512413"/>
                  <c:y val="0.00587399693317888"/>
                </c:manualLayout>
              </c:layout>
              <c:showLegendKey val="0"/>
              <c:showVal val="1"/>
              <c:showCatName val="1"/>
              <c:showSerName val="0"/>
              <c:showPercent val="0"/>
              <c:showBubbleSize val="0"/>
              <c:extLst>
                <c:ext xmlns:c15="http://schemas.microsoft.com/office/drawing/2012/chart" uri="{CE6537A1-D6FC-4f65-9D91-7224C49458BB}">
                  <c15:layout>
                    <c:manualLayout>
                      <c:w val="0.252179768512542"/>
                      <c:h val="0.198560663787994"/>
                    </c:manualLayout>
                  </c15:layout>
                </c:ext>
              </c:extLst>
            </c:dLbl>
            <c:dLbl>
              <c:idx val="3"/>
              <c:layout>
                <c:manualLayout>
                  <c:x val="0.00367787530657024"/>
                  <c:y val="0.0286738351254479"/>
                </c:manualLayout>
              </c:layout>
              <c:showLegendKey val="0"/>
              <c:showVal val="1"/>
              <c:showCatName val="1"/>
              <c:showSerName val="0"/>
              <c:showPercent val="0"/>
              <c:showBubbleSize val="0"/>
              <c:extLst>
                <c:ext xmlns:c15="http://schemas.microsoft.com/office/drawing/2012/chart" uri="{CE6537A1-D6FC-4f65-9D91-7224C49458BB}">
                  <c15:layout>
                    <c:manualLayout>
                      <c:w val="0.253521147971258"/>
                      <c:h val="0.147104676431575"/>
                    </c:manualLayout>
                  </c15:layout>
                </c:ext>
              </c:extLst>
            </c:dLbl>
            <c:dLbl>
              <c:idx val="4"/>
              <c:layout>
                <c:manualLayout>
                  <c:x val="-0.17809388256669"/>
                  <c:y val="0.0598975596628149"/>
                </c:manualLayout>
              </c:layout>
              <c:showLegendKey val="0"/>
              <c:showVal val="1"/>
              <c:showCatName val="1"/>
              <c:showSerName val="0"/>
              <c:showPercent val="0"/>
              <c:showBubbleSize val="0"/>
              <c:extLst>
                <c:ext xmlns:c15="http://schemas.microsoft.com/office/drawing/2012/chart" uri="{CE6537A1-D6FC-4f65-9D91-7224C49458BB}">
                  <c15:layout>
                    <c:manualLayout>
                      <c:w val="0.266393442622951"/>
                      <c:h val="0.177361969538754"/>
                    </c:manualLayout>
                  </c15:layout>
                </c:ext>
              </c:extLst>
            </c:dLbl>
            <c:dLbl>
              <c:idx val="5"/>
              <c:layout>
                <c:manualLayout>
                  <c:x val="-0.197771395378856"/>
                  <c:y val="-0.0162816207113896"/>
                </c:manualLayout>
              </c:layout>
              <c:showLegendKey val="0"/>
              <c:showVal val="1"/>
              <c:showCatName val="1"/>
              <c:showSerName val="0"/>
              <c:showPercent val="0"/>
              <c:showBubbleSize val="0"/>
              <c:extLst>
                <c:ext xmlns:c15="http://schemas.microsoft.com/office/drawing/2012/chart" uri="{CE6537A1-D6FC-4f65-9D91-7224C49458BB}">
                  <c15:layout>
                    <c:manualLayout>
                      <c:w val="0.254098360655738"/>
                      <c:h val="0.172582997017846"/>
                    </c:manualLayout>
                  </c15:layout>
                </c:ext>
              </c:extLst>
            </c:dLbl>
            <c:spPr>
              <a:noFill/>
              <a:ln>
                <a:noFill/>
              </a:ln>
              <a:effectLst/>
            </c:spPr>
            <c:txPr>
              <a:bodyPr rot="0" spcFirstLastPara="1" vertOverflow="clip" horzOverflow="clip" vert="horz" wrap="square" lIns="38100" tIns="19050" rIns="38100" bIns="19050" anchor="ctr" anchorCtr="1">
                <a:spAutoFit/>
              </a:bodyPr>
              <a:lstStyle/>
              <a:p>
                <a:pPr>
                  <a:defRPr lang="zh-CN" sz="1050" b="0" i="0" u="none" strike="noStrike" kern="1200" baseline="0">
                    <a:solidFill>
                      <a:sysClr val="windowText" lastClr="000000"/>
                    </a:solidFill>
                    <a:latin typeface="Times New Roman" panose="02020603050405020304" charset="0"/>
                    <a:ea typeface="宋体" panose="02010600030101010101" charset="-122"/>
                    <a:cs typeface="Times New Roman" panose="02020603050405020304" charset="0"/>
                  </a:defRPr>
                </a:pPr>
              </a:p>
            </c:txPr>
            <c:showLegendKey val="0"/>
            <c:showVal val="1"/>
            <c:showCatName val="1"/>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Sheet1!$A$2:$A$7</c:f>
              <c:strCache>
                <c:ptCount val="6"/>
                <c:pt idx="0">
                  <c:v>创新创业大赛</c:v>
                </c:pt>
                <c:pt idx="1">
                  <c:v>创业课程和讲座</c:v>
                </c:pt>
                <c:pt idx="2">
                  <c:v>创业模拟与实训</c:v>
                </c:pt>
                <c:pt idx="3">
                  <c:v>创业指导服务</c:v>
                </c:pt>
                <c:pt idx="4">
                  <c:v>创业场地支持</c:v>
                </c:pt>
                <c:pt idx="5">
                  <c:v>创业资金筹措支持</c:v>
                </c:pt>
              </c:strCache>
            </c:strRef>
          </c:cat>
          <c:val>
            <c:numRef>
              <c:f>Sheet1!$B$2:$B$7</c:f>
              <c:numCache>
                <c:formatCode>0.00%</c:formatCode>
                <c:ptCount val="6"/>
                <c:pt idx="0">
                  <c:v>0.942894507410636</c:v>
                </c:pt>
                <c:pt idx="1">
                  <c:v>0.939774696707106</c:v>
                </c:pt>
                <c:pt idx="2">
                  <c:v>0.9375</c:v>
                </c:pt>
                <c:pt idx="3">
                  <c:v>0.936653560506772</c:v>
                </c:pt>
                <c:pt idx="4">
                  <c:v>0.769683257918552</c:v>
                </c:pt>
                <c:pt idx="5">
                  <c:v>0.725643382352941</c:v>
                </c:pt>
              </c:numCache>
            </c:numRef>
          </c:val>
        </c:ser>
        <c:dLbls>
          <c:showLegendKey val="0"/>
          <c:showVal val="0"/>
          <c:showCatName val="0"/>
          <c:showSerName val="0"/>
          <c:showPercent val="0"/>
          <c:showBubbleSize val="0"/>
        </c:dLbls>
        <c:axId val="277375952"/>
        <c:axId val="277376512"/>
      </c:radarChart>
      <c:catAx>
        <c:axId val="27737595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277376512"/>
        <c:crosses val="autoZero"/>
        <c:auto val="1"/>
        <c:lblAlgn val="ctr"/>
        <c:lblOffset val="100"/>
        <c:noMultiLvlLbl val="0"/>
      </c:catAx>
      <c:valAx>
        <c:axId val="277376512"/>
        <c:scaling>
          <c:orientation val="minMax"/>
          <c:max val="1"/>
          <c:min val="0.5"/>
        </c:scaling>
        <c:delete val="1"/>
        <c:axPos val="l"/>
        <c:majorGridlines>
          <c:spPr>
            <a:ln w="9525" cap="flat" cmpd="sng" algn="ctr">
              <a:solidFill>
                <a:schemeClr val="tx1">
                  <a:lumMod val="15000"/>
                  <a:lumOff val="85000"/>
                </a:schemeClr>
              </a:solidFill>
              <a:round/>
            </a:ln>
            <a:effectLst/>
          </c:spPr>
        </c:majorGridlines>
        <c:numFmt formatCode="0.00%" sourceLinked="0"/>
        <c:majorTickMark val="out"/>
        <c:minorTickMark val="none"/>
        <c:tickLblPos val="nextTo"/>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277375952"/>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solidFill>
            <a:sysClr val="windowText" lastClr="000000"/>
          </a:solidFill>
        </a:defRPr>
      </a:pPr>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8777157516394"/>
          <c:y val="0.183343372843405"/>
          <c:w val="0.366328474227497"/>
          <c:h val="0.706642155862794"/>
        </c:manualLayout>
      </c:layout>
      <c:doughnutChart>
        <c:varyColors val="1"/>
        <c:ser>
          <c:idx val="0"/>
          <c:order val="0"/>
          <c:explosion val="0"/>
          <c:dPt>
            <c:idx val="0"/>
            <c:bubble3D val="0"/>
            <c:spPr>
              <a:solidFill>
                <a:schemeClr val="accent1"/>
              </a:solidFill>
              <a:ln w="19050">
                <a:solidFill>
                  <a:schemeClr val="lt1"/>
                </a:solidFill>
              </a:ln>
              <a:effectLst/>
            </c:spPr>
          </c:dPt>
          <c:dPt>
            <c:idx val="1"/>
            <c:bubble3D val="0"/>
            <c:spPr>
              <a:solidFill>
                <a:schemeClr val="accent3"/>
              </a:solidFill>
              <a:ln w="19050">
                <a:solidFill>
                  <a:schemeClr val="lt1"/>
                </a:solidFill>
              </a:ln>
              <a:effectLst/>
            </c:spPr>
          </c:dPt>
          <c:dPt>
            <c:idx val="2"/>
            <c:bubble3D val="0"/>
            <c:spPr>
              <a:solidFill>
                <a:schemeClr val="accent5"/>
              </a:solidFill>
              <a:ln w="19050">
                <a:solidFill>
                  <a:schemeClr val="lt1"/>
                </a:solidFill>
              </a:ln>
              <a:effectLst/>
            </c:spPr>
          </c:dPt>
          <c:dPt>
            <c:idx val="3"/>
            <c:bubble3D val="0"/>
            <c:spPr>
              <a:solidFill>
                <a:schemeClr val="accent1">
                  <a:lumMod val="60000"/>
                </a:schemeClr>
              </a:solidFill>
              <a:ln w="19050">
                <a:solidFill>
                  <a:schemeClr val="lt1"/>
                </a:solidFill>
              </a:ln>
              <a:effectLst/>
            </c:spPr>
          </c:dPt>
          <c:dPt>
            <c:idx val="4"/>
            <c:bubble3D val="0"/>
            <c:spPr>
              <a:solidFill>
                <a:schemeClr val="accent3">
                  <a:lumMod val="60000"/>
                </a:schemeClr>
              </a:solidFill>
              <a:ln w="19050">
                <a:solidFill>
                  <a:schemeClr val="lt1"/>
                </a:solidFill>
              </a:ln>
              <a:effectLst/>
            </c:spPr>
          </c:dPt>
          <c:dLbls>
            <c:dLbl>
              <c:idx val="0"/>
              <c:layout>
                <c:manualLayout>
                  <c:x val="0.117710874701256"/>
                  <c:y val="0.0278526106566776"/>
                </c:manualLayout>
              </c:layou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123756599106753"/>
                  <c:y val="0.0996408963953271"/>
                </c:manualLayout>
              </c:layou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0412573237236325"/>
                  <c:y val="-0.152015475294581"/>
                </c:manualLayout>
              </c:layout>
              <c:tx>
                <c:rich>
                  <a:bodyPr rot="0" spcFirstLastPara="1" vertOverflow="ellipsis" vert="horz" wrap="square" lIns="38100" tIns="19050" rIns="38100" bIns="19050" anchor="ctr" anchorCtr="1">
                    <a:noAutofit/>
                  </a:bodyPr>
                  <a:lstStyle/>
                  <a:p>
                    <a:fld id="{9aee5be1-6404-4f5b-94b0-fbb99a5ec0a8}" type="CATEGORYNAME">
                      <a:t>[CATEGORY NAME]</a:t>
                    </a:fld>
                    <a:r>
                      <a:t>,</a:t>
                    </a:r>
                    <a:fld id="{b7c99d12-d53b-4616-925f-b5e48f2e689e}" type="VALUE">
                      <a:t>[VALUE]</a:t>
                    </a:fld>
                    <a:endParaRPr lang="en-US" altLang="zh-CN" sz="1050" b="0" i="0" u="none" strike="noStrike" baseline="0">
                      <a:latin typeface="Times New Roman" panose="02020603050405020304" charset="0"/>
                      <a:ea typeface="宋体" panose="02010600030101010101" charset="-122"/>
                      <a:cs typeface="+mn-ea"/>
                    </a:endParaRPr>
                  </a:p>
                </c:rich>
              </c:tx>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1000" b="0" i="0" u="none" strike="noStrike" kern="1200" baseline="0">
                      <a:solidFill>
                        <a:schemeClr val="tx1"/>
                      </a:solidFill>
                      <a:latin typeface="+mn-lt"/>
                      <a:ea typeface="+mn-ea"/>
                      <a:cs typeface="+mn-cs"/>
                    </a:defRPr>
                  </a:pPr>
                </a:p>
              </c:txPr>
              <c:showLegendKey val="0"/>
              <c:showVal val="1"/>
              <c:showCatName val="1"/>
              <c:showSerName val="0"/>
              <c:showPercent val="0"/>
              <c:showBubbleSize val="0"/>
              <c:extLst>
                <c:ext xmlns:c15="http://schemas.microsoft.com/office/drawing/2012/chart" uri="{CE6537A1-D6FC-4f65-9D91-7224C49458BB}">
                  <c15:layout>
                    <c:manualLayout>
                      <c:w val="0.23935863286484"/>
                      <c:h val="0.18588996763754"/>
                    </c:manualLayout>
                  </c15:layout>
                </c:ext>
              </c:extLst>
            </c:dLbl>
            <c:dLbl>
              <c:idx val="3"/>
              <c:layout>
                <c:manualLayout>
                  <c:x val="0.10959244583431"/>
                  <c:y val="-0.111272115680857"/>
                </c:manualLayout>
              </c:layout>
              <c:tx>
                <c:rich>
                  <a:bodyPr rot="0" spcFirstLastPara="1" vertOverflow="ellipsis" vert="horz" wrap="square" lIns="38100" tIns="19050" rIns="38100" bIns="19050" anchor="ctr" anchorCtr="1">
                    <a:noAutofit/>
                  </a:bodyPr>
                  <a:lstStyle/>
                  <a:p>
                    <a:fld id="{ec235a46-9a3b-407e-b9f7-ee0df3cdf208}" type="CATEGORYNAME">
                      <a:t>[CATEGORY NAME]</a:t>
                    </a:fld>
                    <a:r>
                      <a:t>,</a:t>
                    </a:r>
                    <a:fld id="{78d950ac-d06c-4c5a-8b92-391970deef07}" type="VALUE">
                      <a:t>[VALUE]</a:t>
                    </a:fld>
                    <a:endParaRPr lang="en-US" altLang="zh-CN" sz="1050" b="0" i="0" u="none" strike="noStrike" baseline="0">
                      <a:latin typeface="Times New Roman" panose="02020603050405020304" charset="0"/>
                      <a:ea typeface="宋体" panose="02010600030101010101" charset="-122"/>
                      <a:cs typeface="+mn-ea"/>
                    </a:endParaRPr>
                  </a:p>
                </c:rich>
              </c:tx>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1000" b="0" i="0" u="none" strike="noStrike" kern="1200" baseline="0">
                      <a:solidFill>
                        <a:schemeClr val="tx1"/>
                      </a:solidFill>
                      <a:latin typeface="+mn-lt"/>
                      <a:ea typeface="+mn-ea"/>
                      <a:cs typeface="+mn-cs"/>
                    </a:defRPr>
                  </a:pPr>
                </a:p>
              </c:txPr>
              <c:showLegendKey val="0"/>
              <c:showVal val="1"/>
              <c:showCatName val="1"/>
              <c:showSerName val="0"/>
              <c:showPercent val="0"/>
              <c:showBubbleSize val="0"/>
              <c:extLst>
                <c:ext xmlns:c15="http://schemas.microsoft.com/office/drawing/2012/chart" uri="{CE6537A1-D6FC-4f65-9D91-7224C49458BB}">
                  <c15:layout>
                    <c:manualLayout>
                      <c:w val="0.27505533209834"/>
                      <c:h val="0.185508243508396"/>
                    </c:manualLayout>
                  </c15:layout>
                </c:ext>
              </c:extLst>
            </c:dLbl>
            <c:dLbl>
              <c:idx val="4"/>
              <c:layout>
                <c:manualLayout>
                  <c:x val="0.15462759322555"/>
                  <c:y val="0.00664669963079503"/>
                </c:manualLayout>
              </c:layou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1050" b="0" i="0" u="none" strike="noStrike" kern="1200" baseline="0">
                    <a:solidFill>
                      <a:sysClr val="windowText" lastClr="000000"/>
                    </a:solidFill>
                    <a:latin typeface="Times New Roman" panose="02020603050405020304" charset="0"/>
                    <a:ea typeface="宋体" panose="02010600030101010101" charset="-122"/>
                    <a:cs typeface="+mn-cs"/>
                  </a:defRPr>
                </a:pPr>
              </a:p>
            </c:txPr>
            <c:showLegendKey val="0"/>
            <c:showVal val="1"/>
            <c:showCatName val="1"/>
            <c:showSerName val="0"/>
            <c:showPercent val="0"/>
            <c:showBubbleSize val="0"/>
            <c:showLeaderLines val="0"/>
            <c:extLst>
              <c:ext xmlns:c15="http://schemas.microsoft.com/office/drawing/2012/chart" uri="{CE6537A1-D6FC-4f65-9D91-7224C49458BB}">
                <c15:layout/>
                <c15:showLeaderLines val="0"/>
                <c15:leaderLines/>
              </c:ext>
            </c:extLst>
          </c:dLbls>
          <c:cat>
            <c:strRef>
              <c:f>Sheet1!$A$2:$A$6</c:f>
              <c:strCache>
                <c:ptCount val="5"/>
                <c:pt idx="0">
                  <c:v>很满意</c:v>
                </c:pt>
                <c:pt idx="1">
                  <c:v>满意</c:v>
                </c:pt>
                <c:pt idx="2">
                  <c:v>一般</c:v>
                </c:pt>
                <c:pt idx="3">
                  <c:v>不满意</c:v>
                </c:pt>
                <c:pt idx="4">
                  <c:v>很不满意</c:v>
                </c:pt>
              </c:strCache>
            </c:strRef>
          </c:cat>
          <c:val>
            <c:numRef>
              <c:f>Sheet1!$B$2:$B$6</c:f>
              <c:numCache>
                <c:formatCode>0.00%</c:formatCode>
                <c:ptCount val="5"/>
                <c:pt idx="0">
                  <c:v>0.431</c:v>
                </c:pt>
                <c:pt idx="1">
                  <c:v>0.4732</c:v>
                </c:pt>
                <c:pt idx="2">
                  <c:v>0.0845</c:v>
                </c:pt>
                <c:pt idx="3">
                  <c:v>0.0056</c:v>
                </c:pt>
                <c:pt idx="4">
                  <c:v>0.0056</c:v>
                </c:pt>
              </c:numCache>
            </c:numRef>
          </c:val>
        </c:ser>
        <c:dLbls>
          <c:showLegendKey val="0"/>
          <c:showVal val="0"/>
          <c:showCatName val="0"/>
          <c:showSerName val="0"/>
          <c:showPercent val="0"/>
          <c:showBubbleSize val="0"/>
          <c:showLeaderLines val="0"/>
        </c:dLbls>
        <c:firstSliceAng val="55"/>
        <c:holeSize val="70"/>
      </c:doughnut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sz="1000">
          <a:solidFill>
            <a:schemeClr val="tx1"/>
          </a:solidFill>
        </a:defRPr>
      </a:pPr>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24345738095216"/>
          <c:y val="0"/>
          <c:w val="0.669646748113912"/>
          <c:h val="1"/>
        </c:manualLayout>
      </c:layout>
      <c:barChart>
        <c:barDir val="bar"/>
        <c:grouping val="clustered"/>
        <c:varyColors val="0"/>
        <c:ser>
          <c:idx val="0"/>
          <c:order val="0"/>
          <c:tx>
            <c:strRef>
              <c:f>Sheet1!$B$1</c:f>
              <c:strCache>
                <c:ptCount val="1"/>
                <c:pt idx="0">
                  <c:v>列1</c:v>
                </c:pt>
              </c:strCache>
            </c:strRef>
          </c:tx>
          <c:spPr>
            <a:solidFill>
              <a:schemeClr val="accent1"/>
            </a:solidFill>
            <a:ln>
              <a:noFill/>
            </a:ln>
            <a:effectLst/>
            <a:scene3d>
              <a:camera prst="orthographicFront"/>
              <a:lightRig rig="threePt" dir="t"/>
            </a:scene3d>
          </c:spPr>
          <c:invertIfNegative val="0"/>
          <c:dPt>
            <c:idx val="0"/>
            <c:invertIfNegative val="0"/>
            <c:bubble3D val="0"/>
            <c:spPr>
              <a:solidFill>
                <a:schemeClr val="accent1"/>
              </a:solidFill>
              <a:ln>
                <a:noFill/>
              </a:ln>
              <a:effectLst/>
              <a:scene3d>
                <a:camera prst="orthographicFront"/>
                <a:lightRig rig="threePt" dir="t"/>
              </a:scene3d>
            </c:spPr>
          </c:dPt>
          <c:dPt>
            <c:idx val="1"/>
            <c:invertIfNegative val="0"/>
            <c:bubble3D val="0"/>
            <c:spPr>
              <a:solidFill>
                <a:schemeClr val="accent1"/>
              </a:solidFill>
              <a:ln>
                <a:noFill/>
              </a:ln>
              <a:effectLst/>
              <a:scene3d>
                <a:camera prst="orthographicFront"/>
                <a:lightRig rig="threePt" dir="t"/>
              </a:scene3d>
            </c:spPr>
          </c:dPt>
          <c:dPt>
            <c:idx val="2"/>
            <c:invertIfNegative val="0"/>
            <c:bubble3D val="0"/>
            <c:spPr>
              <a:solidFill>
                <a:schemeClr val="accent1"/>
              </a:solidFill>
              <a:ln>
                <a:noFill/>
              </a:ln>
              <a:effectLst/>
              <a:scene3d>
                <a:camera prst="orthographicFront"/>
                <a:lightRig rig="threePt" dir="t"/>
              </a:scene3d>
            </c:spPr>
          </c:dPt>
          <c:dPt>
            <c:idx val="3"/>
            <c:invertIfNegative val="0"/>
            <c:bubble3D val="0"/>
            <c:spPr>
              <a:solidFill>
                <a:schemeClr val="accent1"/>
              </a:solidFill>
              <a:ln>
                <a:noFill/>
              </a:ln>
              <a:effectLst/>
              <a:scene3d>
                <a:camera prst="orthographicFront"/>
                <a:lightRig rig="threePt" dir="t"/>
              </a:scene3d>
            </c:spPr>
          </c:dPt>
          <c:dLbls>
            <c:spPr>
              <a:noFill/>
              <a:ln>
                <a:noFill/>
              </a:ln>
              <a:effectLst/>
            </c:spPr>
            <c:txPr>
              <a:bodyPr rot="0" spcFirstLastPara="1" vertOverflow="ellipsis" vert="horz" wrap="square" lIns="38100" tIns="19050" rIns="38100" bIns="19050" anchor="ctr" anchorCtr="1">
                <a:spAutoFit/>
              </a:bodyPr>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6350" cap="flat" cmpd="sng" algn="ctr">
                      <a:solidFill>
                        <a:schemeClr val="tx1"/>
                      </a:solidFill>
                      <a:prstDash val="solid"/>
                      <a:round/>
                    </a:ln>
                    <a:effectLst/>
                  </c:spPr>
                </c15:leaderLines>
              </c:ext>
            </c:extLst>
          </c:dLbls>
          <c:cat>
            <c:strRef>
              <c:f>Sheet1!$A$2:$A$6</c:f>
              <c:strCache>
                <c:ptCount val="5"/>
                <c:pt idx="0">
                  <c:v>改进服务态度</c:v>
                </c:pt>
                <c:pt idx="1">
                  <c:v>已较完善</c:v>
                </c:pt>
                <c:pt idx="2">
                  <c:v>拓宽服务项目</c:v>
                </c:pt>
                <c:pt idx="3">
                  <c:v>增加招聘场次</c:v>
                </c:pt>
                <c:pt idx="4">
                  <c:v>加强校企沟通</c:v>
                </c:pt>
              </c:strCache>
            </c:strRef>
          </c:cat>
          <c:val>
            <c:numRef>
              <c:f>Sheet1!$B$2:$B$6</c:f>
              <c:numCache>
                <c:formatCode>0.00%</c:formatCode>
                <c:ptCount val="5"/>
                <c:pt idx="0">
                  <c:v>0.0644</c:v>
                </c:pt>
                <c:pt idx="1">
                  <c:v>0.3165</c:v>
                </c:pt>
                <c:pt idx="2">
                  <c:v>0.3221</c:v>
                </c:pt>
                <c:pt idx="3">
                  <c:v>0.3221</c:v>
                </c:pt>
                <c:pt idx="4">
                  <c:v>0.5378</c:v>
                </c:pt>
              </c:numCache>
            </c:numRef>
          </c:val>
        </c:ser>
        <c:dLbls>
          <c:showLegendKey val="0"/>
          <c:showVal val="1"/>
          <c:showCatName val="0"/>
          <c:showSerName val="0"/>
          <c:showPercent val="0"/>
          <c:showBubbleSize val="0"/>
        </c:dLbls>
        <c:gapWidth val="100"/>
        <c:axId val="277380432"/>
        <c:axId val="277380992"/>
      </c:barChart>
      <c:catAx>
        <c:axId val="277380432"/>
        <c:scaling>
          <c:orientation val="minMax"/>
        </c:scaling>
        <c:delete val="0"/>
        <c:axPos val="l"/>
        <c:numFmt formatCode="General" sourceLinked="1"/>
        <c:majorTickMark val="none"/>
        <c:minorTickMark val="none"/>
        <c:tickLblPos val="nextTo"/>
        <c:spPr>
          <a:noFill/>
          <a:ln w="15875" cap="flat" cmpd="sng" algn="ctr">
            <a:solidFill>
              <a:schemeClr val="accent1"/>
            </a:solidFill>
            <a:prstDash val="solid"/>
            <a:round/>
          </a:ln>
          <a:effectLst/>
        </c:spPr>
        <c:txPr>
          <a:bodyPr rot="-60000000" spcFirstLastPara="1" vertOverflow="ellipsis" vert="horz" wrap="square" anchor="ctr" anchorCtr="1"/>
          <a:lstStyle/>
          <a:p>
            <a:pPr>
              <a:defRPr lang="zh-CN" sz="1050" b="0" i="0" u="none" strike="noStrike" kern="1200" baseline="0">
                <a:solidFill>
                  <a:schemeClr val="tx1"/>
                </a:solidFill>
                <a:latin typeface="+mn-ea"/>
                <a:ea typeface="+mn-ea"/>
                <a:cs typeface="+mn-cs"/>
              </a:defRPr>
            </a:pPr>
          </a:p>
        </c:txPr>
        <c:crossAx val="277380992"/>
        <c:crosses val="autoZero"/>
        <c:auto val="1"/>
        <c:lblAlgn val="ctr"/>
        <c:lblOffset val="100"/>
        <c:noMultiLvlLbl val="0"/>
      </c:catAx>
      <c:valAx>
        <c:axId val="277380992"/>
        <c:scaling>
          <c:orientation val="minMax"/>
        </c:scaling>
        <c:delete val="1"/>
        <c:axPos val="b"/>
        <c:numFmt formatCode="#,##0.00_);[Red]\(#,##0.00\)"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77380432"/>
        <c:crosses val="autoZero"/>
        <c:crossBetween val="between"/>
      </c:valAx>
      <c:spPr>
        <a:noFill/>
        <a:ln w="25400">
          <a:noFill/>
        </a:ln>
        <a:effectLst/>
      </c:spPr>
    </c:plotArea>
    <c:plotVisOnly val="1"/>
    <c:dispBlanksAs val="gap"/>
    <c:showDLblsOverMax val="0"/>
  </c:chart>
  <c:spPr>
    <a:solidFill>
      <a:schemeClr val="bg1"/>
    </a:solidFill>
    <a:ln w="9525" cap="flat" cmpd="sng" algn="ctr">
      <a:noFill/>
      <a:prstDash val="solid"/>
      <a:round/>
    </a:ln>
    <a:effectLst>
      <a:softEdge rad="635000"/>
    </a:effectLst>
  </c:spPr>
  <c:txPr>
    <a:bodyPr rot="0" spcFirstLastPara="0" vertOverflow="ellipsis" horzOverflow="overflow" vert="horz" wrap="square" anchor="ctr" anchorCtr="1"/>
    <a:lstStyle/>
    <a:p>
      <a:pPr>
        <a:defRPr lang="zh-CN">
          <a:solidFill>
            <a:schemeClr val="tx1"/>
          </a:solidFill>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5307015539885"/>
          <c:y val="0.0310700947327821"/>
          <c:w val="0.512367636830696"/>
          <c:h val="0.949441104808136"/>
        </c:manualLayout>
      </c:layout>
      <c:pieChart>
        <c:varyColors val="1"/>
        <c:ser>
          <c:idx val="0"/>
          <c:order val="0"/>
          <c:tx>
            <c:strRef>
              <c:f>Sheet1!$B$1</c:f>
              <c:strCache>
                <c:ptCount val="1"/>
                <c:pt idx="0">
                  <c:v>占比</c:v>
                </c:pt>
              </c:strCache>
            </c:strRef>
          </c:tx>
          <c:explosion val="0"/>
          <c:dPt>
            <c:idx val="0"/>
            <c:bubble3D val="0"/>
            <c:spPr>
              <a:noFill/>
              <a:ln w="19050">
                <a:solidFill>
                  <a:schemeClr val="lt1"/>
                </a:solidFill>
              </a:ln>
              <a:effectLst/>
            </c:spPr>
          </c:dPt>
          <c:dPt>
            <c:idx val="1"/>
            <c:bubble3D val="0"/>
            <c:spPr>
              <a:solidFill>
                <a:schemeClr val="accent6"/>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2">
                  <a:lumMod val="40000"/>
                  <a:lumOff val="60000"/>
                </a:schemeClr>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0"/>
              <c:delete val="1"/>
            </c:dLbl>
            <c:dLbl>
              <c:idx val="1"/>
              <c:layout>
                <c:manualLayout>
                  <c:x val="0.00382022014690015"/>
                  <c:y val="0.0581345214410476"/>
                </c:manualLayout>
              </c:layout>
              <c:tx>
                <c:rich>
                  <a:bodyPr rot="0" spcFirstLastPara="1" vertOverflow="ellipsis" vert="horz" wrap="square" lIns="38100" tIns="19050" rIns="38100" bIns="19050" anchor="ctr" anchorCtr="1"/>
                  <a:lstStyle/>
                  <a:p>
                    <a:fld id="{c531d0b9-b349-4945-bdc8-40edbc5b9bc6}" type="CATEGORYNAME">
                      <a:t>[CATEGORY NAME]</a:t>
                    </a:fld>
                    <a:r>
                      <a:t>,</a:t>
                    </a:r>
                    <a:fld id="{6958508a-6a59-41c7-8617-e96abb3163e4}" type="VALUE">
                      <a:t>[VALUE]</a:t>
                    </a:fld>
                  </a:p>
                </c:rich>
              </c:tx>
              <c:dLblPos val="bestFit"/>
              <c:showLegendKey val="0"/>
              <c:showVal val="1"/>
              <c:showCatName val="1"/>
              <c:showSerName val="0"/>
              <c:showPercent val="0"/>
              <c:showBubbleSize val="0"/>
              <c:extLst>
                <c:ext xmlns:c15="http://schemas.microsoft.com/office/drawing/2012/chart" uri="{CE6537A1-D6FC-4f65-9D91-7224C49458BB}">
                  <c15:layout>
                    <c:manualLayout>
                      <c:w val="0.273255813953488"/>
                      <c:h val="0.143772241992883"/>
                    </c:manualLayout>
                  </c15:layout>
                </c:ext>
              </c:extLst>
            </c:dLbl>
            <c:dLbl>
              <c:idx val="2"/>
              <c:layout>
                <c:manualLayout>
                  <c:x val="-0.00468676880506216"/>
                  <c:y val="0.00362877238209988"/>
                </c:manualLayout>
              </c:layout>
              <c:tx>
                <c:rich>
                  <a:bodyPr rot="0" spcFirstLastPara="1" vertOverflow="ellipsis" vert="horz" wrap="square" lIns="38100" tIns="19050" rIns="38100" bIns="19050" anchor="ctr" anchorCtr="1"/>
                  <a:lstStyle/>
                  <a:p>
                    <a:fld id="{9240a8e0-7028-4098-9b06-a74e20f179a4}" type="CATEGORYNAME">
                      <a:t>[CATEGORY NAME]</a:t>
                    </a:fld>
                    <a:r>
                      <a:t>,</a:t>
                    </a:r>
                    <a:fld id="{20e4182b-eb4f-441b-a9a6-1847e1c3d91c}" type="VALUE">
                      <a:t>[VALUE]</a:t>
                    </a:fld>
                  </a:p>
                </c:rich>
              </c:tx>
              <c:dLblPos val="bestFit"/>
              <c:showLegendKey val="0"/>
              <c:showVal val="1"/>
              <c:showCatName val="1"/>
              <c:showSerName val="0"/>
              <c:showPercent val="0"/>
              <c:showBubbleSize val="0"/>
              <c:extLst>
                <c:ext xmlns:c15="http://schemas.microsoft.com/office/drawing/2012/chart" uri="{CE6537A1-D6FC-4f65-9D91-7224C49458BB}">
                  <c15:layout>
                    <c:manualLayout>
                      <c:w val="0.262919896640827"/>
                      <c:h val="0.143772241992883"/>
                    </c:manualLayout>
                  </c15:layout>
                </c:ext>
              </c:extLst>
            </c:dLbl>
            <c:dLbl>
              <c:idx val="3"/>
              <c:layout>
                <c:manualLayout>
                  <c:x val="-0.0122673909947303"/>
                  <c:y val="-0.0228953587207293"/>
                </c:manualLayout>
              </c:layout>
              <c:tx>
                <c:rich>
                  <a:bodyPr rot="0" spcFirstLastPara="1" vertOverflow="ellipsis" vert="horz" wrap="square" lIns="38100" tIns="19050" rIns="38100" bIns="19050" anchor="ctr" anchorCtr="1"/>
                  <a:lstStyle/>
                  <a:p>
                    <a:fld id="{2299509c-8835-4377-b2b9-8249464905d6}" type="CATEGORYNAME">
                      <a:t>[CATEGORY NAME]</a:t>
                    </a:fld>
                    <a:r>
                      <a:t>,</a:t>
                    </a:r>
                    <a:fld id="{621497f5-7db5-4920-8ec2-cd7597a38c2c}" type="VALUE">
                      <a:t>[VALUE]</a:t>
                    </a:fld>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4"/>
              <c:layout>
                <c:manualLayout>
                  <c:x val="-0.0120348328551955"/>
                  <c:y val="-0.0200760314213393"/>
                </c:manualLayout>
              </c:layout>
              <c:tx>
                <c:rich>
                  <a:bodyPr rot="0" spcFirstLastPara="1" vertOverflow="ellipsis" vert="horz" wrap="square" lIns="38100" tIns="19050" rIns="38100" bIns="19050" anchor="ctr" anchorCtr="1"/>
                  <a:lstStyle/>
                  <a:p>
                    <a:fld id="{ac8b8eee-9e06-4690-b145-a9fe76aa1ca5}" type="CATEGORYNAME">
                      <a:t>[CATEGORY NAME]</a:t>
                    </a:fld>
                    <a:r>
                      <a:t>,</a:t>
                    </a:r>
                    <a:fld id="{e13d76dd-bbcf-4659-a2c9-3d4d3dc45e79}" type="VALUE">
                      <a:t>[VALUE]</a:t>
                    </a:fld>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5"/>
              <c:layout>
                <c:manualLayout>
                  <c:x val="-0.0121888543001892"/>
                  <c:y val="0.0134999673083568"/>
                </c:manualLayout>
              </c:layout>
              <c:tx>
                <c:rich>
                  <a:bodyPr rot="0" spcFirstLastPara="1" vertOverflow="ellipsis" vert="horz" wrap="square" lIns="38100" tIns="19050" rIns="38100" bIns="19050" anchor="ctr" anchorCtr="1"/>
                  <a:lstStyle/>
                  <a:p>
                    <a:fld id="{aa3d5984-e9b4-4c49-b590-e0d8f1883c84}" type="CATEGORYNAME">
                      <a:t>[CATEGORY NAME]</a:t>
                    </a:fld>
                    <a:r>
                      <a:t>,</a:t>
                    </a:r>
                    <a:fld id="{c6d153db-1df2-46db-9b3d-148f5ccfb325}" type="VALUE">
                      <a:t>[VALUE]</a:t>
                    </a:fld>
                  </a:p>
                </c:rich>
              </c:tx>
              <c:dLblPos val="bestFi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lstStyle/>
              <a:p>
                <a:pPr>
                  <a:defRPr lang="zh-CN" sz="1050" b="0" i="0" u="none" strike="noStrike" kern="1200" baseline="0">
                    <a:solidFill>
                      <a:schemeClr val="tx1"/>
                    </a:solidFill>
                    <a:latin typeface="Times New Roman" panose="02020603050405020304" charset="0"/>
                    <a:ea typeface="宋体" panose="02010600030101010101" charset="-122"/>
                    <a:cs typeface="+mn-cs"/>
                  </a:defRPr>
                </a:pPr>
              </a:p>
            </c:txPr>
            <c:dLblPos val="bestFit"/>
            <c:showLegendKey val="0"/>
            <c:showVal val="1"/>
            <c:showCatName val="1"/>
            <c:showSerName val="0"/>
            <c:showPercent val="0"/>
            <c:showBubbleSize val="0"/>
            <c:showLeaderLines val="0"/>
            <c:extLst>
              <c:ext xmlns:c15="http://schemas.microsoft.com/office/drawing/2012/chart" uri="{CE6537A1-D6FC-4f65-9D91-7224C49458BB}">
                <c15:layout/>
                <c15:showLeaderLines val="0"/>
                <c15:leaderLines/>
              </c:ext>
            </c:extLst>
          </c:dLbls>
          <c:cat>
            <c:strRef>
              <c:f>Sheet1!$A$2:$A$7</c:f>
              <c:strCache>
                <c:ptCount val="6"/>
                <c:pt idx="0">
                  <c:v>安徽省</c:v>
                </c:pt>
                <c:pt idx="1">
                  <c:v>江苏省</c:v>
                </c:pt>
                <c:pt idx="2">
                  <c:v>上海市</c:v>
                </c:pt>
                <c:pt idx="3">
                  <c:v>浙江省</c:v>
                </c:pt>
                <c:pt idx="4">
                  <c:v>广东省</c:v>
                </c:pt>
                <c:pt idx="5">
                  <c:v>其他</c:v>
                </c:pt>
              </c:strCache>
            </c:strRef>
          </c:cat>
          <c:val>
            <c:numRef>
              <c:f>Sheet1!$B$2:$B$7</c:f>
              <c:numCache>
                <c:formatCode>0.00%</c:formatCode>
                <c:ptCount val="6"/>
                <c:pt idx="0">
                  <c:v>0.7303</c:v>
                </c:pt>
                <c:pt idx="1">
                  <c:v>0.1077</c:v>
                </c:pt>
                <c:pt idx="2">
                  <c:v>0.0757</c:v>
                </c:pt>
                <c:pt idx="3">
                  <c:v>0.0406</c:v>
                </c:pt>
                <c:pt idx="4">
                  <c:v>0.0131</c:v>
                </c:pt>
                <c:pt idx="5">
                  <c:v>0.0326</c:v>
                </c:pt>
              </c:numCache>
            </c:numRef>
          </c:val>
        </c:ser>
        <c:dLbls>
          <c:showLegendKey val="0"/>
          <c:showVal val="0"/>
          <c:showCatName val="0"/>
          <c:showSerName val="0"/>
          <c:showPercent val="0"/>
          <c:showBubbleSize val="0"/>
          <c:showLeaderLines val="0"/>
        </c:dLbls>
        <c:firstSliceAng val="120"/>
      </c:pieChart>
      <c:pieChart>
        <c:varyColors val="1"/>
        <c:ser>
          <c:idx val="1"/>
          <c:order val="1"/>
          <c:tx>
            <c:strRef>
              <c:f>Sheet1!$C$1</c:f>
              <c:strCache>
                <c:ptCount val="1"/>
                <c:pt idx="0">
                  <c:v>列1</c:v>
                </c:pt>
              </c:strCache>
            </c:strRef>
          </c:tx>
          <c:explosion val="23"/>
          <c:dPt>
            <c:idx val="0"/>
            <c:bubble3D val="0"/>
            <c:explosion val="1"/>
            <c:spPr>
              <a:solidFill>
                <a:schemeClr val="accent5">
                  <a:alpha val="50000"/>
                </a:schemeClr>
              </a:solidFill>
              <a:ln w="19050">
                <a:solidFill>
                  <a:schemeClr val="lt1"/>
                </a:solidFill>
              </a:ln>
              <a:effectLst/>
            </c:spPr>
          </c:dPt>
          <c:dPt>
            <c:idx val="1"/>
            <c:bubble3D val="0"/>
            <c:explosion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0"/>
              <c:layout>
                <c:manualLayout>
                  <c:x val="0.187262300197892"/>
                  <c:y val="-0.0307626365252731"/>
                </c:manualLayout>
              </c:layout>
              <c:tx>
                <c:rich>
                  <a:bodyPr rot="0" spcFirstLastPara="1" vertOverflow="ellipsis" vert="horz" wrap="square" lIns="38100" tIns="19050" rIns="38100" bIns="19050" anchor="ctr" anchorCtr="1"/>
                  <a:lstStyle/>
                  <a:p>
                    <a:fld id="{7ad6fce9-fe71-4850-9459-bed032e358ea}" type="VALUE">
                      <a:t>[VALUE]</a:t>
                    </a:fld>
                  </a:p>
                </c:rich>
              </c:tx>
              <c:numFmt formatCode="General" sourceLinked="1"/>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rot="0" spcFirstLastPara="1" vertOverflow="ellipsis" vert="horz" wrap="square" lIns="38100" tIns="19050" rIns="38100" bIns="19050" anchor="ctr" anchorCtr="1"/>
                  <a:lstStyle/>
                  <a:p>
                    <a:fld id="{1302a33a-90ea-4461-92be-d25d0ed89372}" type="VALUE">
                      <a:t>[VALUE]</a:t>
                    </a:fld>
                  </a:p>
                </c:rich>
              </c:tx>
              <c:numFmt formatCode="General" sourceLinked="1"/>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Sheet1!$A$2:$A$7</c:f>
              <c:strCache>
                <c:ptCount val="6"/>
                <c:pt idx="0">
                  <c:v>安徽省</c:v>
                </c:pt>
                <c:pt idx="1">
                  <c:v>江苏省</c:v>
                </c:pt>
                <c:pt idx="2">
                  <c:v>上海市</c:v>
                </c:pt>
                <c:pt idx="3">
                  <c:v>浙江省</c:v>
                </c:pt>
                <c:pt idx="4">
                  <c:v>广东省</c:v>
                </c:pt>
                <c:pt idx="5">
                  <c:v>其他</c:v>
                </c:pt>
              </c:strCache>
            </c:strRef>
          </c:cat>
          <c:val>
            <c:numRef>
              <c:f>Sheet1!$C$2:$C$7</c:f>
              <c:numCache>
                <c:formatCode>0.00%</c:formatCode>
                <c:ptCount val="6"/>
                <c:pt idx="0">
                  <c:v>0.7303</c:v>
                </c:pt>
                <c:pt idx="1">
                  <c:v>0.2697</c:v>
                </c:pt>
              </c:numCache>
            </c:numRef>
          </c:val>
        </c:ser>
        <c:dLbls>
          <c:showLegendKey val="0"/>
          <c:showVal val="0"/>
          <c:showCatName val="0"/>
          <c:showSerName val="0"/>
          <c:showPercent val="0"/>
          <c:showBubbleSize val="0"/>
          <c:showLeaderLines val="1"/>
        </c:dLbls>
        <c:firstSliceAng val="120"/>
      </c:pie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solidFill>
            <a:schemeClr val="tx1"/>
          </a:solidFill>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tx>
            <c:strRef>
              <c:f>Sheet1!$B$1</c:f>
              <c:strCache>
                <c:ptCount val="1"/>
                <c:pt idx="0">
                  <c:v>系列 1</c:v>
                </c:pt>
              </c:strCache>
            </c:strRef>
          </c:tx>
          <c:spPr>
            <a:solidFill>
              <a:schemeClr val="accent3"/>
            </a:solidFill>
            <a:ln>
              <a:solidFill>
                <a:schemeClr val="bg1"/>
              </a:solidFill>
            </a:ln>
            <a:effectLst/>
          </c:spPr>
          <c:dLbls>
            <c:dLbl>
              <c:idx val="0"/>
              <c:layout>
                <c:manualLayout>
                  <c:x val="0.0592329354782816"/>
                  <c:y val="-0.353500905280412"/>
                </c:manualLayout>
              </c:layout>
              <c:numFmt formatCode="General" sourceLinked="1"/>
              <c:spPr>
                <a:noFill/>
                <a:ln>
                  <a:noFill/>
                </a:ln>
                <a:effectLst/>
              </c:spPr>
              <c:txPr>
                <a:bodyPr rot="0" spcFirstLastPara="1" vertOverflow="overflow" vert="horz" wrap="square" lIns="38100" tIns="46800" rIns="38100" bIns="46800" anchor="ctr" anchorCtr="0"/>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p>
              </c:txPr>
              <c:showLegendKey val="0"/>
              <c:showVal val="1"/>
              <c:showCatName val="0"/>
              <c:showSerName val="0"/>
              <c:showPercent val="0"/>
              <c:showBubbleSize val="0"/>
              <c:extLst>
                <c:ext xmlns:c15="http://schemas.microsoft.com/office/drawing/2012/chart" uri="{CE6537A1-D6FC-4f65-9D91-7224C49458BB}">
                  <c15:layout>
                    <c:manualLayout>
                      <c:w val="0.11556014042288"/>
                      <c:h val="0.113924387223774"/>
                    </c:manualLayout>
                  </c15:layout>
                </c:ext>
              </c:extLst>
            </c:dLbl>
            <c:dLbl>
              <c:idx val="1"/>
              <c:layout>
                <c:manualLayout>
                  <c:x val="0.0277777777777777"/>
                  <c:y val="-0.31638418079096"/>
                </c:manualLayout>
              </c:layout>
              <c:numFmt formatCode="General" sourceLinked="1"/>
              <c:spPr>
                <a:noFill/>
                <a:ln>
                  <a:noFill/>
                </a:ln>
                <a:effectLst/>
              </c:spPr>
              <c:txPr>
                <a:bodyPr rot="0" spcFirstLastPara="1" vertOverflow="overflow" vert="horz" wrap="square" lIns="38100" tIns="46800" rIns="38100" bIns="46800" anchor="ctr" anchorCtr="0"/>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54630540974045"/>
                  <c:y val="-0.0994350282485877"/>
                </c:manualLayout>
              </c:layout>
              <c:numFmt formatCode="General" sourceLinked="1"/>
              <c:spPr>
                <a:noFill/>
                <a:ln>
                  <a:noFill/>
                </a:ln>
                <a:effectLst/>
              </c:spPr>
              <c:txPr>
                <a:bodyPr rot="0" spcFirstLastPara="1" vertOverflow="overflow" vert="horz" wrap="square" lIns="38100" tIns="46800" rIns="38100" bIns="46800" anchor="ctr" anchorCtr="0"/>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p>
              </c:txPr>
              <c:showLegendKey val="0"/>
              <c:showVal val="1"/>
              <c:showCatName val="0"/>
              <c:showSerName val="0"/>
              <c:showPercent val="0"/>
              <c:showBubbleSize val="0"/>
              <c:extLst>
                <c:ext xmlns:c15="http://schemas.microsoft.com/office/drawing/2012/chart" uri="{CE6537A1-D6FC-4f65-9D91-7224C49458BB}">
                  <c15:layout>
                    <c:manualLayout>
                      <c:w val="0.0766666666666667"/>
                      <c:h val="0.0923845366786779"/>
                    </c:manualLayout>
                  </c15:layout>
                </c:ext>
              </c:extLst>
            </c:dLbl>
            <c:dLbl>
              <c:idx val="3"/>
              <c:layout>
                <c:manualLayout>
                  <c:x val="0.011574074074074"/>
                  <c:y val="-0.0497175141242939"/>
                </c:manualLayout>
              </c:layout>
              <c:numFmt formatCode="General" sourceLinked="1"/>
              <c:spPr>
                <a:noFill/>
                <a:ln>
                  <a:noFill/>
                </a:ln>
                <a:effectLst/>
              </c:spPr>
              <c:txPr>
                <a:bodyPr rot="0" spcFirstLastPara="1" vertOverflow="overflow" vert="horz" wrap="square" lIns="38100" tIns="46800" rIns="38100" bIns="46800" anchor="ctr" anchorCtr="0"/>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p>
              </c:txP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231481481481481"/>
                  <c:y val="-0.0497175141242938"/>
                </c:manualLayout>
              </c:layout>
              <c:numFmt formatCode="General" sourceLinked="1"/>
              <c:spPr>
                <a:noFill/>
                <a:ln>
                  <a:noFill/>
                </a:ln>
                <a:effectLst/>
              </c:spPr>
              <c:txPr>
                <a:bodyPr rot="0" spcFirstLastPara="1" vertOverflow="overflow" vert="horz" wrap="square" lIns="38100" tIns="46800" rIns="38100" bIns="46800" anchor="ctr" anchorCtr="0"/>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p>
              </c:txP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0.040677966101695"/>
                </c:manualLayout>
              </c:layout>
              <c:numFmt formatCode="General" sourceLinked="1"/>
              <c:spPr>
                <a:noFill/>
                <a:ln>
                  <a:noFill/>
                </a:ln>
                <a:effectLst/>
              </c:spPr>
              <c:txPr>
                <a:bodyPr rot="0" spcFirstLastPara="1" vertOverflow="overflow" vert="horz" wrap="square" lIns="38100" tIns="46800" rIns="38100" bIns="46800" anchor="ctr" anchorCtr="0"/>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p>
              </c:txP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0231481481481481"/>
                  <c:y val="-0.040677966101695"/>
                </c:manualLayout>
              </c:layout>
              <c:numFmt formatCode="General" sourceLinked="1"/>
              <c:spPr>
                <a:noFill/>
                <a:ln>
                  <a:noFill/>
                </a:ln>
                <a:effectLst/>
              </c:spPr>
              <c:txPr>
                <a:bodyPr rot="0" spcFirstLastPara="1" vertOverflow="overflow" vert="horz" wrap="square" lIns="38100" tIns="46800" rIns="38100" bIns="46800" anchor="ctr" anchorCtr="0"/>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p>
              </c:txP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
                  <c:y val="-0.0406779661016949"/>
                </c:manualLayout>
              </c:layout>
              <c:numFmt formatCode="General" sourceLinked="1"/>
              <c:spPr>
                <a:noFill/>
                <a:ln>
                  <a:noFill/>
                </a:ln>
                <a:effectLst/>
              </c:spPr>
              <c:txPr>
                <a:bodyPr rot="0" spcFirstLastPara="1" vertOverflow="overflow" vert="horz" wrap="square" lIns="38100" tIns="46800" rIns="38100" bIns="46800" anchor="ctr" anchorCtr="0"/>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p>
              </c:txP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0231481481481481"/>
                  <c:y val="-0.0361581920903955"/>
                </c:manualLayout>
              </c:layout>
              <c:numFmt formatCode="General" sourceLinked="1"/>
              <c:spPr>
                <a:noFill/>
                <a:ln>
                  <a:noFill/>
                </a:ln>
                <a:effectLst/>
              </c:spPr>
              <c:txPr>
                <a:bodyPr rot="0" spcFirstLastPara="1" vertOverflow="overflow" vert="horz" wrap="square" lIns="38100" tIns="46800" rIns="38100" bIns="46800" anchor="ctr" anchorCtr="0"/>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p>
              </c:txP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
                  <c:y val="-0.0406779661016949"/>
                </c:manualLayout>
              </c:layout>
              <c:numFmt formatCode="General" sourceLinked="1"/>
              <c:spPr>
                <a:noFill/>
                <a:ln>
                  <a:noFill/>
                </a:ln>
                <a:effectLst/>
              </c:spPr>
              <c:txPr>
                <a:bodyPr rot="0" spcFirstLastPara="1" vertOverflow="overflow" vert="horz" wrap="square" lIns="38100" tIns="46800" rIns="38100" bIns="46800" anchor="ctr" anchorCtr="0"/>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overflow" horzOverflow="overflow" vert="horz" wrap="square" lIns="38100" tIns="46800" rIns="38100" bIns="46800" anchor="ctr" anchorCtr="0">
                <a:noAutofit/>
              </a:bodyPr>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Sheet1!$A$2:$A$11</c:f>
              <c:strCache>
                <c:ptCount val="10"/>
                <c:pt idx="0">
                  <c:v>合肥市</c:v>
                </c:pt>
                <c:pt idx="1">
                  <c:v>六安市</c:v>
                </c:pt>
                <c:pt idx="2">
                  <c:v>芜湖市</c:v>
                </c:pt>
                <c:pt idx="3">
                  <c:v>阜阳市</c:v>
                </c:pt>
                <c:pt idx="4">
                  <c:v>安庆市</c:v>
                </c:pt>
                <c:pt idx="5">
                  <c:v>亳州市</c:v>
                </c:pt>
                <c:pt idx="6">
                  <c:v>淮南市</c:v>
                </c:pt>
                <c:pt idx="7">
                  <c:v>马鞍山市</c:v>
                </c:pt>
                <c:pt idx="8">
                  <c:v>宣城市</c:v>
                </c:pt>
                <c:pt idx="9">
                  <c:v>宿州市</c:v>
                </c:pt>
              </c:strCache>
            </c:strRef>
          </c:cat>
          <c:val>
            <c:numRef>
              <c:f>Sheet1!$B$2:$B$11</c:f>
              <c:numCache>
                <c:formatCode>0.00%</c:formatCode>
                <c:ptCount val="10"/>
                <c:pt idx="0">
                  <c:v>0.401</c:v>
                </c:pt>
                <c:pt idx="1">
                  <c:v>0.3268</c:v>
                </c:pt>
                <c:pt idx="2">
                  <c:v>0.0307</c:v>
                </c:pt>
                <c:pt idx="3">
                  <c:v>0.0288</c:v>
                </c:pt>
                <c:pt idx="4">
                  <c:v>0.0256</c:v>
                </c:pt>
                <c:pt idx="5">
                  <c:v>0.0233</c:v>
                </c:pt>
                <c:pt idx="6">
                  <c:v>0.023</c:v>
                </c:pt>
                <c:pt idx="7">
                  <c:v>0.0189</c:v>
                </c:pt>
                <c:pt idx="8">
                  <c:v>0.0173</c:v>
                </c:pt>
                <c:pt idx="9">
                  <c:v>0.0163</c:v>
                </c:pt>
              </c:numCache>
            </c:numRef>
          </c:val>
        </c:ser>
        <c:dLbls>
          <c:showLegendKey val="0"/>
          <c:showVal val="0"/>
          <c:showCatName val="0"/>
          <c:showSerName val="0"/>
          <c:showPercent val="0"/>
          <c:showBubbleSize val="0"/>
        </c:dLbls>
        <c:axId val="273759152"/>
        <c:axId val="273759712"/>
      </c:areaChart>
      <c:catAx>
        <c:axId val="273759152"/>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1050" b="0" i="0" u="none" strike="noStrike" kern="1200" baseline="0">
                <a:solidFill>
                  <a:schemeClr val="tx1"/>
                </a:solidFill>
                <a:latin typeface="+mn-ea"/>
                <a:ea typeface="+mn-ea"/>
                <a:cs typeface="+mn-cs"/>
              </a:defRPr>
            </a:pPr>
          </a:p>
        </c:txPr>
        <c:crossAx val="273759712"/>
        <c:crosses val="autoZero"/>
        <c:auto val="0"/>
        <c:lblAlgn val="ctr"/>
        <c:lblOffset val="100"/>
        <c:noMultiLvlLbl val="0"/>
      </c:catAx>
      <c:valAx>
        <c:axId val="273759712"/>
        <c:scaling>
          <c:orientation val="minMax"/>
        </c:scaling>
        <c:delete val="0"/>
        <c:axPos val="l"/>
        <c:numFmt formatCode="0.00%"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1050" b="0" i="0" u="none" strike="noStrike" kern="1200" baseline="0">
                <a:solidFill>
                  <a:schemeClr val="tx1"/>
                </a:solidFill>
                <a:latin typeface="Times New Roman" panose="02020603050405020304" charset="0"/>
                <a:ea typeface="+mn-ea"/>
                <a:cs typeface="Times New Roman" panose="02020603050405020304" charset="0"/>
              </a:defRPr>
            </a:pPr>
          </a:p>
        </c:txPr>
        <c:crossAx val="273759152"/>
        <c:crosses val="autoZero"/>
        <c:crossBetween val="midCat"/>
      </c:valAx>
      <c:spPr>
        <a:noFill/>
        <a:ln>
          <a:noFill/>
        </a:ln>
        <a:effectLst/>
      </c:spPr>
    </c:plotArea>
    <c:plotVisOnly val="1"/>
    <c:dispBlanksAs val="gap"/>
    <c:showDLblsOverMax val="0"/>
  </c:chart>
  <c:spPr>
    <a:noFill/>
    <a:ln w="9525" cap="flat" cmpd="sng" algn="ctr">
      <a:noFill/>
      <a:prstDash val="solid"/>
      <a:round/>
    </a:ln>
    <a:effectLst/>
  </c:spPr>
  <c:txPr>
    <a:bodyPr/>
    <a:lstStyle/>
    <a:p>
      <a:pPr>
        <a:defRPr lang="zh-CN">
          <a:solidFill>
            <a:schemeClr val="tx1"/>
          </a:solidFill>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450119078455979"/>
          <c:y val="0.105464324932709"/>
          <c:w val="0.891110736676919"/>
          <c:h val="0.808949758346023"/>
        </c:manualLayout>
      </c:layout>
      <c:doughnutChart>
        <c:varyColors val="1"/>
        <c:ser>
          <c:idx val="0"/>
          <c:order val="0"/>
          <c:tx>
            <c:strRef>
              <c:f>Sheet1!$B$1</c:f>
              <c:strCache>
                <c:ptCount val="1"/>
                <c:pt idx="0">
                  <c:v>列1</c:v>
                </c:pt>
              </c:strCache>
            </c:strRef>
          </c:tx>
          <c:spPr>
            <a:solidFill>
              <a:schemeClr val="accent5"/>
            </a:solidFill>
          </c:spPr>
          <c:explosion val="0"/>
          <c:dPt>
            <c:idx val="0"/>
            <c:bubble3D val="0"/>
            <c:spPr>
              <a:solidFill>
                <a:schemeClr val="accent5"/>
              </a:solidFill>
              <a:ln w="19050">
                <a:solidFill>
                  <a:schemeClr val="accent5"/>
                </a:solidFill>
              </a:ln>
              <a:effectLst/>
            </c:spPr>
          </c:dPt>
          <c:dPt>
            <c:idx val="1"/>
            <c:bubble3D val="0"/>
            <c:spPr>
              <a:solidFill>
                <a:schemeClr val="accent2"/>
              </a:solidFill>
              <a:ln w="19050">
                <a:solidFill>
                  <a:schemeClr val="lt1"/>
                </a:solidFill>
              </a:ln>
              <a:effectLst/>
            </c:spPr>
          </c:dPt>
          <c:dLbls>
            <c:dLbl>
              <c:idx val="0"/>
              <c:layout>
                <c:manualLayout>
                  <c:x val="0.155272347713293"/>
                  <c:y val="0.194668664204585"/>
                </c:manualLayout>
              </c:layout>
              <c:tx>
                <c:rich>
                  <a:bodyPr rot="0" spcFirstLastPara="1" vertOverflow="ellipsis" vert="horz" wrap="square" lIns="38100" tIns="19050" rIns="38100" bIns="19050" anchor="ctr" anchorCtr="1"/>
                  <a:lstStyle/>
                  <a:p>
                    <a:fld id="{b93c30bf-8f0c-4b0f-827a-c7f7939ce43a}" type="CATEGORYNAME">
                      <a:t>[CATEGORY NAME]</a:t>
                    </a:fld>
                    <a:r>
                      <a:t>,</a:t>
                    </a:r>
                    <a:fld id="{070a8f40-93e9-4d7e-b699-a481d86f2bd0}" type="VALUE">
                      <a:t>[VALUE]</a:t>
                    </a:fld>
                  </a:p>
                </c:rich>
              </c:tx>
              <c:showLegendKey val="0"/>
              <c:showVal val="1"/>
              <c:showCatName val="1"/>
              <c:showSerName val="0"/>
              <c:showPercent val="0"/>
              <c:showBubbleSize val="0"/>
              <c:extLst>
                <c:ext xmlns:c15="http://schemas.microsoft.com/office/drawing/2012/chart" uri="{CE6537A1-D6FC-4f65-9D91-7224C49458BB}">
                  <c15:layout>
                    <c:manualLayout>
                      <c:w val="0.340500005066934"/>
                      <c:h val="0.220560704248252"/>
                    </c:manualLayout>
                  </c15:layout>
                </c:ext>
              </c:extLst>
            </c:dLbl>
            <c:dLbl>
              <c:idx val="1"/>
              <c:layout>
                <c:manualLayout>
                  <c:x val="-0.135647159187926"/>
                  <c:y val="-0.135100969281046"/>
                </c:manualLayout>
              </c:layout>
              <c:tx>
                <c:rich>
                  <a:bodyPr rot="0" spcFirstLastPara="1" vertOverflow="ellipsis" vert="horz" wrap="square" lIns="38100" tIns="19050" rIns="38100" bIns="19050" anchor="ctr" anchorCtr="1">
                    <a:spAutoFit/>
                  </a:bodyPr>
                  <a:lstStyle/>
                  <a:p>
                    <a:fld id="{9f3c5db5-34cb-4de8-bd5d-4fee5301cb0d}" type="CATEGORYNAME">
                      <a:t>[CATEGORY NAME]</a:t>
                    </a:fld>
                    <a:r>
                      <a:t>,</a:t>
                    </a:r>
                    <a:fld id="{2404dfff-3bf2-46ad-87d9-4cde03f30754}" type="VALUE">
                      <a:t>[VALUE]</a:t>
                    </a:fld>
                  </a:p>
                </c:rich>
              </c:tx>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p>
              </c:txPr>
              <c:showLegendKey val="0"/>
              <c:showVal val="1"/>
              <c:showCatName val="1"/>
              <c:showSerName val="0"/>
              <c:showPercent val="0"/>
              <c:showBubbleSize val="0"/>
              <c:extLst>
                <c:ext xmlns:c15="http://schemas.microsoft.com/office/drawing/2012/chart" uri="{CE6537A1-D6FC-4f65-9D91-7224C49458BB}">
                  <c15:layout>
                    <c:manualLayout>
                      <c:w val="0.338412022821472"/>
                      <c:h val="0.216787680301024"/>
                    </c:manualLayout>
                  </c15:layout>
                </c:ext>
              </c:extLst>
            </c:dLbl>
            <c:spPr>
              <a:noFill/>
              <a:ln>
                <a:noFill/>
              </a:ln>
              <a:effectLst/>
            </c:spPr>
            <c:txPr>
              <a:bodyPr rot="0" spcFirstLastPara="1" vertOverflow="ellipsis" vert="horz" wrap="square" lIns="38100" tIns="19050" rIns="38100" bIns="19050" anchor="ctr" anchorCtr="1">
                <a:spAutoFit/>
              </a:bodyPr>
              <a:lstStyle/>
              <a:p>
                <a:pPr>
                  <a:defRPr lang="zh-CN" sz="1050" b="0" i="0" u="none" strike="noStrike" kern="1200" baseline="0">
                    <a:solidFill>
                      <a:sysClr val="windowText" lastClr="000000"/>
                    </a:solidFill>
                    <a:latin typeface="Times New Roman" panose="02020603050405020304" charset="0"/>
                    <a:ea typeface="宋体" panose="02010600030101010101" charset="-122"/>
                    <a:cs typeface="+mn-cs"/>
                  </a:defRPr>
                </a:pPr>
              </a:p>
            </c:txPr>
            <c:showLegendKey val="0"/>
            <c:showVal val="1"/>
            <c:showCatName val="1"/>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省内就业</c:v>
                </c:pt>
                <c:pt idx="1">
                  <c:v>省外就业</c:v>
                </c:pt>
              </c:strCache>
            </c:strRef>
          </c:cat>
          <c:val>
            <c:numRef>
              <c:f>Sheet1!$B$2:$B$3</c:f>
              <c:numCache>
                <c:formatCode>0.00%</c:formatCode>
                <c:ptCount val="2"/>
                <c:pt idx="0">
                  <c:v>0.7329</c:v>
                </c:pt>
                <c:pt idx="1">
                  <c:v>0.2671</c:v>
                </c:pt>
              </c:numCache>
            </c:numRef>
          </c:val>
        </c:ser>
        <c:ser>
          <c:idx val="1"/>
          <c:order val="1"/>
          <c:tx>
            <c:strRef>
              <c:f>Sheet1!$C$1</c:f>
              <c:strCache>
                <c:ptCount val="1"/>
                <c:pt idx="0">
                  <c:v>辅助列</c:v>
                </c:pt>
              </c:strCache>
            </c:strRef>
          </c:tx>
          <c:explosion val="0"/>
          <c:dPt>
            <c:idx val="0"/>
            <c:bubble3D val="0"/>
            <c:spPr>
              <a:solidFill>
                <a:schemeClr val="accent5"/>
              </a:solidFill>
              <a:ln w="19050">
                <a:solidFill>
                  <a:schemeClr val="accent5"/>
                </a:solidFill>
              </a:ln>
              <a:effectLst/>
            </c:spPr>
          </c:dPt>
          <c:dPt>
            <c:idx val="1"/>
            <c:bubble3D val="0"/>
            <c:spPr>
              <a:noFill/>
              <a:ln w="19050">
                <a:solidFill>
                  <a:schemeClr val="lt1"/>
                </a:solidFill>
              </a:ln>
              <a:effectLst/>
            </c:spPr>
          </c:dPt>
          <c:dLbls>
            <c:delete val="1"/>
          </c:dLbls>
          <c:cat>
            <c:strRef>
              <c:f>Sheet1!$A$2:$A$3</c:f>
              <c:strCache>
                <c:ptCount val="2"/>
                <c:pt idx="0">
                  <c:v>省内就业</c:v>
                </c:pt>
                <c:pt idx="1">
                  <c:v>省外就业</c:v>
                </c:pt>
              </c:strCache>
            </c:strRef>
          </c:cat>
          <c:val>
            <c:numRef>
              <c:f>Sheet1!$C$2:$C$3</c:f>
              <c:numCache>
                <c:formatCode>0.00%</c:formatCode>
                <c:ptCount val="2"/>
                <c:pt idx="0">
                  <c:v>0.7329</c:v>
                </c:pt>
                <c:pt idx="1">
                  <c:v>0.2671</c:v>
                </c:pt>
              </c:numCache>
            </c:numRef>
          </c:val>
        </c:ser>
        <c:dLbls>
          <c:showLegendKey val="0"/>
          <c:showVal val="1"/>
          <c:showCatName val="0"/>
          <c:showSerName val="0"/>
          <c:showPercent val="0"/>
          <c:showBubbleSize val="0"/>
          <c:showLeaderLines val="0"/>
        </c:dLbls>
        <c:firstSliceAng val="0"/>
        <c:holeSize val="58"/>
      </c:doughnut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450119078455979"/>
          <c:y val="0.105464324932709"/>
          <c:w val="0.891110736676919"/>
          <c:h val="0.808949758346023"/>
        </c:manualLayout>
      </c:layout>
      <c:doughnutChart>
        <c:varyColors val="1"/>
        <c:ser>
          <c:idx val="0"/>
          <c:order val="0"/>
          <c:tx>
            <c:strRef>
              <c:f>Sheet1!$B$1</c:f>
              <c:strCache>
                <c:ptCount val="1"/>
                <c:pt idx="0">
                  <c:v>列1</c:v>
                </c:pt>
              </c:strCache>
            </c:strRef>
          </c:tx>
          <c:explosion val="0"/>
          <c:dPt>
            <c:idx val="0"/>
            <c:bubble3D val="0"/>
            <c:spPr>
              <a:solidFill>
                <a:schemeClr val="accent5"/>
              </a:solidFill>
              <a:ln w="19050">
                <a:solidFill>
                  <a:schemeClr val="accent5"/>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0.136456881738703"/>
                  <c:y val="0.226018163658746"/>
                </c:manualLayout>
              </c:layout>
              <c:tx>
                <c:rich>
                  <a:bodyPr rot="0" spcFirstLastPara="1" vertOverflow="ellipsis" vert="horz" wrap="square" lIns="38100" tIns="19050" rIns="38100" bIns="19050" anchor="ctr" anchorCtr="0">
                    <a:noAutofit/>
                  </a:bodyPr>
                  <a:lstStyle/>
                  <a:p>
                    <a:fld id="{9e5d8394-c7f8-459a-bbe8-1ae9bf466567}" type="CATEGORYNAME">
                      <a:t>[CATEGORY NAME]</a:t>
                    </a:fld>
                    <a:r>
                      <a:t>,</a:t>
                    </a:r>
                    <a:fld id="{defa2f23-134b-40cf-872a-7b66168d452b}" type="VALUE">
                      <a:t>[VALUE]</a:t>
                    </a:fld>
                  </a:p>
                </c:rich>
              </c:tx>
              <c:numFmt formatCode="General" sourceLinked="1"/>
              <c:spPr>
                <a:noFill/>
                <a:ln>
                  <a:noFill/>
                </a:ln>
                <a:effectLst/>
              </c:spPr>
              <c:txPr>
                <a:bodyPr rot="0" spcFirstLastPara="1" vertOverflow="ellipsis" vert="horz" wrap="square" lIns="38100" tIns="19050" rIns="38100" bIns="19050" anchor="ctr" anchorCtr="0">
                  <a:noAutofit/>
                </a:bodyPr>
                <a:lstStyle/>
                <a:p>
                  <a:pPr algn="ctr">
                    <a:defRPr lang="zh-CN" sz="1000" b="0" i="0" u="none" strike="noStrike" kern="1200" baseline="0">
                      <a:solidFill>
                        <a:schemeClr val="tx1"/>
                      </a:solidFill>
                      <a:latin typeface="+mn-lt"/>
                      <a:ea typeface="+mn-ea"/>
                      <a:cs typeface="+mn-cs"/>
                    </a:defRPr>
                  </a:pPr>
                </a:p>
              </c:txPr>
              <c:showLegendKey val="0"/>
              <c:showVal val="1"/>
              <c:showCatName val="1"/>
              <c:showSerName val="0"/>
              <c:showPercent val="0"/>
              <c:showBubbleSize val="0"/>
              <c:extLst>
                <c:ext xmlns:c15="http://schemas.microsoft.com/office/drawing/2012/chart" uri="{CE6537A1-D6FC-4f65-9D91-7224C49458BB}">
                  <c15:layout>
                    <c:manualLayout>
                      <c:w val="0.293482505334315"/>
                      <c:h val="0.252954730216245"/>
                    </c:manualLayout>
                  </c15:layout>
                </c:ext>
              </c:extLst>
            </c:dLbl>
            <c:dLbl>
              <c:idx val="1"/>
              <c:layout>
                <c:manualLayout>
                  <c:x val="-0.0973602220585736"/>
                  <c:y val="-0.186470396952593"/>
                </c:manualLayout>
              </c:layout>
              <c:tx>
                <c:rich>
                  <a:bodyPr rot="0" spcFirstLastPara="1" vertOverflow="ellipsis" vert="horz" wrap="square" lIns="38100" tIns="19050" rIns="38100" bIns="19050" anchor="t" anchorCtr="0">
                    <a:noAutofit/>
                  </a:bodyPr>
                  <a:lstStyle/>
                  <a:p>
                    <a:fld id="{c2601f71-c700-4141-aa68-3cde66009334}" type="CATEGORYNAME">
                      <a:t>[CATEGORY NAME]</a:t>
                    </a:fld>
                    <a:r>
                      <a:t>,</a:t>
                    </a:r>
                    <a:fld id="{690bd20e-9b41-408c-a75e-fed4a74b0bd1}" type="VALUE">
                      <a:t>[VALUE]</a:t>
                    </a:fld>
                  </a:p>
                </c:rich>
              </c:tx>
              <c:numFmt formatCode="General" sourceLinked="1"/>
              <c:spPr>
                <a:noFill/>
                <a:ln>
                  <a:noFill/>
                </a:ln>
                <a:effectLst/>
              </c:spPr>
              <c:txPr>
                <a:bodyPr rot="0" spcFirstLastPara="1" vertOverflow="ellipsis" vert="horz" wrap="square" lIns="38100" tIns="19050" rIns="38100" bIns="19050" anchor="t" anchorCtr="0">
                  <a:noAutofit/>
                </a:bodyPr>
                <a:lstStyle/>
                <a:p>
                  <a:pPr algn="ctr">
                    <a:defRPr lang="zh-CN" sz="1000" b="0" i="0" u="none" strike="noStrike" kern="1200" baseline="0">
                      <a:solidFill>
                        <a:schemeClr val="tx1"/>
                      </a:solidFill>
                      <a:latin typeface="+mn-lt"/>
                      <a:ea typeface="+mn-ea"/>
                      <a:cs typeface="+mn-cs"/>
                    </a:defRPr>
                  </a:pPr>
                </a:p>
              </c:txPr>
              <c:showLegendKey val="0"/>
              <c:showVal val="1"/>
              <c:showCatName val="1"/>
              <c:showSerName val="0"/>
              <c:showPercent val="0"/>
              <c:showBubbleSize val="0"/>
              <c:extLst>
                <c:ext xmlns:c15="http://schemas.microsoft.com/office/drawing/2012/chart" uri="{CE6537A1-D6FC-4f65-9D91-7224C49458BB}">
                  <c15:layout>
                    <c:manualLayout>
                      <c:w val="0.299760191846523"/>
                      <c:h val="0.20070796460177"/>
                    </c:manualLayout>
                  </c15:layout>
                </c:ext>
              </c:extLst>
            </c:dLbl>
            <c:dLbl>
              <c:idx val="2"/>
              <c:layout>
                <c:manualLayout>
                  <c:x val="-0.0338133272909232"/>
                  <c:y val="-0.108314867721181"/>
                </c:manualLayout>
              </c:layout>
              <c:tx>
                <c:rich>
                  <a:bodyPr rot="0" spcFirstLastPara="1" vertOverflow="ellipsis" vert="horz" wrap="square" lIns="38100" tIns="19050" rIns="38100" bIns="19050" anchor="ctr" anchorCtr="0">
                    <a:noAutofit/>
                  </a:bodyPr>
                  <a:lstStyle/>
                  <a:p>
                    <a:fld id="{605437fc-9f68-4325-9ea7-8fe6f924acfa}" type="CATEGORYNAME">
                      <a:t>[CATEGORY NAME]</a:t>
                    </a:fld>
                    <a:r>
                      <a:t>,</a:t>
                    </a:r>
                    <a:fld id="{12399b85-de20-4faa-95ef-8e3a8ea6e3df}" type="VALUE">
                      <a:t>[VALUE]</a:t>
                    </a:fld>
                  </a:p>
                </c:rich>
              </c:tx>
              <c:numFmt formatCode="General" sourceLinked="1"/>
              <c:spPr>
                <a:noFill/>
                <a:ln>
                  <a:noFill/>
                </a:ln>
                <a:effectLst/>
              </c:spPr>
              <c:txPr>
                <a:bodyPr rot="0" spcFirstLastPara="1" vertOverflow="ellipsis" vert="horz" wrap="square" lIns="38100" tIns="19050" rIns="38100" bIns="19050" anchor="ctr" anchorCtr="0">
                  <a:noAutofit/>
                </a:bodyPr>
                <a:lstStyle/>
                <a:p>
                  <a:pPr algn="ctr">
                    <a:defRPr lang="zh-CN" sz="1000" b="0" i="0" u="none" strike="noStrike" kern="1200" baseline="0">
                      <a:solidFill>
                        <a:schemeClr val="tx1"/>
                      </a:solidFill>
                      <a:latin typeface="+mn-lt"/>
                      <a:ea typeface="+mn-ea"/>
                      <a:cs typeface="+mn-cs"/>
                    </a:defRPr>
                  </a:pPr>
                </a:p>
              </c:txPr>
              <c:showLegendKey val="0"/>
              <c:showVal val="1"/>
              <c:showCatName val="1"/>
              <c:showSerName val="0"/>
              <c:showPercent val="0"/>
              <c:showBubbleSize val="0"/>
              <c:extLst>
                <c:ext xmlns:c15="http://schemas.microsoft.com/office/drawing/2012/chart" uri="{CE6537A1-D6FC-4f65-9D91-7224C49458BB}">
                  <c15:layout>
                    <c:manualLayout>
                      <c:w val="0.294964028776978"/>
                      <c:h val="0.188908554572271"/>
                    </c:manualLayout>
                  </c15:layout>
                </c:ext>
              </c:extLst>
            </c:dLbl>
            <c:spPr>
              <a:noFill/>
              <a:ln>
                <a:noFill/>
              </a:ln>
              <a:effectLst/>
            </c:spPr>
            <c:txPr>
              <a:bodyPr rot="0" spcFirstLastPara="1" vertOverflow="ellipsis" vert="horz" wrap="square" lIns="38100" tIns="19050" rIns="38100" bIns="19050" anchor="ctr" anchorCtr="0">
                <a:spAutoFit/>
              </a:bodyPr>
              <a:lstStyle/>
              <a:p>
                <a:pPr algn="ctr">
                  <a:defRPr lang="zh-CN" sz="1000" b="0" i="0" u="none" strike="noStrike" kern="1200" baseline="0">
                    <a:solidFill>
                      <a:schemeClr val="tx1"/>
                    </a:solidFill>
                    <a:latin typeface="+mn-lt"/>
                    <a:ea typeface="+mn-ea"/>
                    <a:cs typeface="+mn-cs"/>
                  </a:defRPr>
                </a:pPr>
              </a:p>
            </c:txPr>
            <c:showLegendKey val="0"/>
            <c:showVal val="1"/>
            <c:showCatName val="1"/>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省内就业</c:v>
                </c:pt>
                <c:pt idx="1">
                  <c:v>回生源地就业</c:v>
                </c:pt>
                <c:pt idx="2">
                  <c:v>其他省份就业</c:v>
                </c:pt>
              </c:strCache>
            </c:strRef>
          </c:cat>
          <c:val>
            <c:numRef>
              <c:f>Sheet1!$B$2:$B$4</c:f>
              <c:numCache>
                <c:formatCode>0.00%</c:formatCode>
                <c:ptCount val="3"/>
                <c:pt idx="0">
                  <c:v>0.6462</c:v>
                </c:pt>
                <c:pt idx="1">
                  <c:v>0.3077</c:v>
                </c:pt>
                <c:pt idx="2">
                  <c:v>0.0462</c:v>
                </c:pt>
              </c:numCache>
            </c:numRef>
          </c:val>
        </c:ser>
        <c:ser>
          <c:idx val="1"/>
          <c:order val="1"/>
          <c:tx>
            <c:strRef>
              <c:f>Sheet1!$C$1</c:f>
              <c:strCache>
                <c:ptCount val="1"/>
                <c:pt idx="0">
                  <c:v>辅助列</c:v>
                </c:pt>
              </c:strCache>
            </c:strRef>
          </c:tx>
          <c:explosion val="0"/>
          <c:dPt>
            <c:idx val="0"/>
            <c:bubble3D val="0"/>
            <c:spPr>
              <a:solidFill>
                <a:schemeClr val="accent5"/>
              </a:solidFill>
              <a:ln w="19050">
                <a:solidFill>
                  <a:schemeClr val="accent5"/>
                </a:solidFill>
              </a:ln>
              <a:effectLst/>
            </c:spPr>
          </c:dPt>
          <c:dPt>
            <c:idx val="1"/>
            <c:bubble3D val="0"/>
            <c:spPr>
              <a:noFill/>
              <a:ln w="19050">
                <a:solidFill>
                  <a:schemeClr val="lt1"/>
                </a:solidFill>
              </a:ln>
              <a:effectLst/>
            </c:spPr>
          </c:dPt>
          <c:dPt>
            <c:idx val="2"/>
            <c:bubble3D val="0"/>
            <c:spPr>
              <a:noFill/>
              <a:ln w="19050">
                <a:solidFill>
                  <a:schemeClr val="lt1"/>
                </a:solidFill>
              </a:ln>
              <a:effectLst/>
            </c:spPr>
          </c:dPt>
          <c:dLbls>
            <c:delete val="1"/>
          </c:dLbls>
          <c:cat>
            <c:strRef>
              <c:f>Sheet1!$A$2:$A$4</c:f>
              <c:strCache>
                <c:ptCount val="3"/>
                <c:pt idx="0">
                  <c:v>省内就业</c:v>
                </c:pt>
                <c:pt idx="1">
                  <c:v>回生源地就业</c:v>
                </c:pt>
                <c:pt idx="2">
                  <c:v>其他省份就业</c:v>
                </c:pt>
              </c:strCache>
            </c:strRef>
          </c:cat>
          <c:val>
            <c:numRef>
              <c:f>Sheet1!$C$2:$C$4</c:f>
              <c:numCache>
                <c:formatCode>0.00%</c:formatCode>
                <c:ptCount val="3"/>
                <c:pt idx="0">
                  <c:v>0.6462</c:v>
                </c:pt>
                <c:pt idx="1">
                  <c:v>0.3077</c:v>
                </c:pt>
                <c:pt idx="2">
                  <c:v>0.0462</c:v>
                </c:pt>
              </c:numCache>
            </c:numRef>
          </c:val>
        </c:ser>
        <c:dLbls>
          <c:showLegendKey val="0"/>
          <c:showVal val="1"/>
          <c:showCatName val="0"/>
          <c:showSerName val="0"/>
          <c:showPercent val="0"/>
          <c:showBubbleSize val="0"/>
          <c:showLeaderLines val="0"/>
        </c:dLbls>
        <c:firstSliceAng val="0"/>
        <c:holeSize val="69"/>
      </c:doughnut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257303351017"/>
          <c:y val="0"/>
          <c:w val="0.895767053508555"/>
          <c:h val="1"/>
        </c:manualLayout>
      </c:layout>
      <c:barChart>
        <c:barDir val="bar"/>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0"/>
              <a:lstStyle/>
              <a:p>
                <a:pPr algn="l">
                  <a:defRPr lang="zh-CN" sz="1050" b="0" i="0" u="none" strike="noStrike" kern="1200" baseline="0">
                    <a:solidFill>
                      <a:schemeClr val="tx1"/>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6350" cap="flat" cmpd="sng" algn="ctr">
                      <a:solidFill>
                        <a:schemeClr val="tx1"/>
                      </a:solidFill>
                      <a:prstDash val="solid"/>
                      <a:round/>
                    </a:ln>
                    <a:effectLst/>
                  </c:spPr>
                </c15:leaderLines>
              </c:ext>
            </c:extLst>
          </c:dLbls>
          <c:cat>
            <c:strRef>
              <c:f>Sheet1!$A$2:$A$11</c:f>
              <c:strCache>
                <c:ptCount val="10"/>
                <c:pt idx="0">
                  <c:v>金融业</c:v>
                </c:pt>
                <c:pt idx="1">
                  <c:v>居民服务、修理和其他服务业</c:v>
                </c:pt>
                <c:pt idx="2">
                  <c:v>租赁和商务服务业</c:v>
                </c:pt>
                <c:pt idx="3">
                  <c:v>科学研究和技术服务业</c:v>
                </c:pt>
                <c:pt idx="4">
                  <c:v>文化、体育和娱乐业</c:v>
                </c:pt>
                <c:pt idx="5">
                  <c:v>批发和零售业</c:v>
                </c:pt>
                <c:pt idx="6">
                  <c:v>制造业</c:v>
                </c:pt>
                <c:pt idx="7">
                  <c:v>建筑业</c:v>
                </c:pt>
                <c:pt idx="8">
                  <c:v>信息传输、软件和信息技术服务业</c:v>
                </c:pt>
                <c:pt idx="9">
                  <c:v>教育</c:v>
                </c:pt>
              </c:strCache>
            </c:strRef>
          </c:cat>
          <c:val>
            <c:numRef>
              <c:f>Sheet1!$B$2:$B$11</c:f>
              <c:numCache>
                <c:formatCode>0.00%</c:formatCode>
                <c:ptCount val="10"/>
                <c:pt idx="0">
                  <c:v>0.037</c:v>
                </c:pt>
                <c:pt idx="1">
                  <c:v>0.0444</c:v>
                </c:pt>
                <c:pt idx="2">
                  <c:v>0.0473</c:v>
                </c:pt>
                <c:pt idx="3">
                  <c:v>0.0489</c:v>
                </c:pt>
                <c:pt idx="4">
                  <c:v>0.0674</c:v>
                </c:pt>
                <c:pt idx="5">
                  <c:v>0.0945</c:v>
                </c:pt>
                <c:pt idx="6">
                  <c:v>0.1001</c:v>
                </c:pt>
                <c:pt idx="7">
                  <c:v>0.1113</c:v>
                </c:pt>
                <c:pt idx="8">
                  <c:v>0.1275</c:v>
                </c:pt>
                <c:pt idx="9">
                  <c:v>0.1972</c:v>
                </c:pt>
              </c:numCache>
            </c:numRef>
          </c:val>
        </c:ser>
        <c:ser>
          <c:idx val="1"/>
          <c:order val="1"/>
          <c:tx>
            <c:strRef>
              <c:f>Sheet1!$C$1</c:f>
              <c:strCache>
                <c:ptCount val="1"/>
                <c:pt idx="0">
                  <c:v>列1</c:v>
                </c:pt>
              </c:strCache>
            </c:strRef>
          </c:tx>
          <c:spPr>
            <a:solidFill>
              <a:schemeClr val="accent2"/>
            </a:solidFill>
            <a:ln>
              <a:noFill/>
            </a:ln>
            <a:effectLst/>
          </c:spPr>
          <c:invertIfNegative val="0"/>
          <c:dLbls>
            <c:spPr>
              <a:noFill/>
              <a:ln>
                <a:noFill/>
              </a:ln>
              <a:effectLst/>
            </c:spPr>
            <c:txPr>
              <a:bodyPr rot="0" spcFirstLastPara="1" vertOverflow="overflow" horzOverflow="overflow" vert="horz" wrap="none" lIns="38100" tIns="19050" rIns="38100" bIns="19050" anchor="ctr" anchorCtr="0">
                <a:spAutoFit/>
              </a:bodyPr>
              <a:lstStyle/>
              <a:p>
                <a:pPr algn="l">
                  <a:defRPr lang="zh-CN" sz="1050" b="0" i="0" u="none" strike="noStrike" kern="1200" baseline="0">
                    <a:solidFill>
                      <a:sysClr val="windowText" lastClr="000000"/>
                    </a:solidFill>
                    <a:latin typeface="宋体" panose="02010600030101010101" charset="-122"/>
                    <a:ea typeface="宋体" panose="02010600030101010101" charset="-122"/>
                    <a:cs typeface="+mn-cs"/>
                  </a:defRPr>
                </a:pPr>
              </a:p>
            </c:txPr>
            <c:dLblPos val="inBase"/>
            <c:showLegendKey val="0"/>
            <c:showVal val="0"/>
            <c:showCatName val="1"/>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shade val="95000"/>
                          <a:satMod val="105000"/>
                        </a:schemeClr>
                      </a:solidFill>
                      <a:prstDash val="solid"/>
                      <a:round/>
                    </a:ln>
                    <a:effectLst/>
                  </c:spPr>
                </c15:leaderLines>
              </c:ext>
            </c:extLst>
          </c:dLbls>
          <c:cat>
            <c:strRef>
              <c:f>Sheet1!$A$2:$A$11</c:f>
              <c:strCache>
                <c:ptCount val="10"/>
                <c:pt idx="0">
                  <c:v>金融业</c:v>
                </c:pt>
                <c:pt idx="1">
                  <c:v>居民服务、修理和其他服务业</c:v>
                </c:pt>
                <c:pt idx="2">
                  <c:v>租赁和商务服务业</c:v>
                </c:pt>
                <c:pt idx="3">
                  <c:v>科学研究和技术服务业</c:v>
                </c:pt>
                <c:pt idx="4">
                  <c:v>文化、体育和娱乐业</c:v>
                </c:pt>
                <c:pt idx="5">
                  <c:v>批发和零售业</c:v>
                </c:pt>
                <c:pt idx="6">
                  <c:v>制造业</c:v>
                </c:pt>
                <c:pt idx="7">
                  <c:v>建筑业</c:v>
                </c:pt>
                <c:pt idx="8">
                  <c:v>信息传输、软件和信息技术服务业</c:v>
                </c:pt>
                <c:pt idx="9">
                  <c:v>教育</c:v>
                </c:pt>
              </c:strCache>
            </c:strRef>
          </c:cat>
          <c:val>
            <c:numRef>
              <c:f>Sheet1!$C$2:$C$11</c:f>
              <c:numCache>
                <c:formatCode>General</c:formatCode>
                <c:ptCount val="10"/>
                <c:pt idx="0">
                  <c:v>0</c:v>
                </c:pt>
                <c:pt idx="1">
                  <c:v>0</c:v>
                </c:pt>
                <c:pt idx="2">
                  <c:v>0</c:v>
                </c:pt>
                <c:pt idx="3">
                  <c:v>0</c:v>
                </c:pt>
                <c:pt idx="4">
                  <c:v>0</c:v>
                </c:pt>
                <c:pt idx="5">
                  <c:v>0</c:v>
                </c:pt>
                <c:pt idx="6">
                  <c:v>0</c:v>
                </c:pt>
                <c:pt idx="7">
                  <c:v>0</c:v>
                </c:pt>
                <c:pt idx="8">
                  <c:v>0</c:v>
                </c:pt>
                <c:pt idx="9">
                  <c:v>0</c:v>
                </c:pt>
              </c:numCache>
            </c:numRef>
          </c:val>
        </c:ser>
        <c:dLbls>
          <c:showLegendKey val="0"/>
          <c:showVal val="0"/>
          <c:showCatName val="0"/>
          <c:showSerName val="0"/>
          <c:showPercent val="0"/>
          <c:showBubbleSize val="0"/>
        </c:dLbls>
        <c:gapWidth val="30"/>
        <c:overlap val="-10"/>
        <c:axId val="273766992"/>
        <c:axId val="273767552"/>
      </c:barChart>
      <c:catAx>
        <c:axId val="273766992"/>
        <c:scaling>
          <c:orientation val="minMax"/>
        </c:scaling>
        <c:delete val="0"/>
        <c:axPos val="l"/>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0" vertOverflow="ellipsis" vert="horz" wrap="square" anchor="ctr" anchorCtr="1"/>
          <a:lstStyle/>
          <a:p>
            <a:pPr>
              <a:defRPr lang="zh-CN" sz="900" b="0" i="0" u="none" strike="noStrike" kern="1200" baseline="0">
                <a:noFill/>
                <a:latin typeface="+mn-lt"/>
                <a:ea typeface="+mn-ea"/>
                <a:cs typeface="+mn-cs"/>
              </a:defRPr>
            </a:pPr>
          </a:p>
        </c:txPr>
        <c:crossAx val="273767552"/>
        <c:crosses val="autoZero"/>
        <c:auto val="1"/>
        <c:lblAlgn val="ctr"/>
        <c:lblOffset val="100"/>
        <c:tickLblSkip val="1"/>
        <c:noMultiLvlLbl val="0"/>
      </c:catAx>
      <c:valAx>
        <c:axId val="273767552"/>
        <c:scaling>
          <c:orientation val="minMax"/>
        </c:scaling>
        <c:delete val="1"/>
        <c:axPos val="b"/>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73766992"/>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sz="1000"/>
      </a:pPr>
    </a:p>
  </c:txPr>
  <c:externalData r:id="rId1">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withinLinear" id="18">
  <a:schemeClr val="accent5"/>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withinLinear" id="18">
  <a:schemeClr val="accent5"/>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4.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5.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iagrams/_rels/data2.xml.rels><?xml version="1.0" encoding="UTF-8" standalone="yes"?>
<Relationships xmlns="http://schemas.openxmlformats.org/package/2006/relationships"><Relationship Id="rId4" Type="http://schemas.openxmlformats.org/officeDocument/2006/relationships/image" Target="../media/image27.png"/><Relationship Id="rId3" Type="http://schemas.openxmlformats.org/officeDocument/2006/relationships/image" Target="../media/image26.png"/><Relationship Id="rId2" Type="http://schemas.openxmlformats.org/officeDocument/2006/relationships/image" Target="../media/image25.png"/><Relationship Id="rId1" Type="http://schemas.openxmlformats.org/officeDocument/2006/relationships/image" Target="../media/image24.png"/></Relationships>
</file>

<file path=word/diagrams/_rels/drawing2.xml.rels><?xml version="1.0" encoding="UTF-8" standalone="yes"?>
<Relationships xmlns="http://schemas.openxmlformats.org/package/2006/relationships"><Relationship Id="rId4" Type="http://schemas.openxmlformats.org/officeDocument/2006/relationships/image" Target="../media/image26.png"/><Relationship Id="rId3" Type="http://schemas.openxmlformats.org/officeDocument/2006/relationships/image" Target="../media/image27.png"/><Relationship Id="rId2" Type="http://schemas.openxmlformats.org/officeDocument/2006/relationships/image" Target="../media/image25.png"/><Relationship Id="rId1" Type="http://schemas.openxmlformats.org/officeDocument/2006/relationships/image" Target="../media/image24.pn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1">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44513045-024A-4A3A-80BF-CB72FBF8BC70}" type="doc">
      <dgm:prSet loTypeId="urn:microsoft.com/office/officeart/2005/8/layout/radial6#1" loCatId="cycle" qsTypeId="urn:microsoft.com/office/officeart/2005/8/quickstyle/simple1#1" qsCatId="simple" csTypeId="urn:microsoft.com/office/officeart/2005/8/colors/accent1_2#1" csCatId="accent1" phldr="1"/>
      <dgm:spPr/>
      <dgm:t>
        <a:bodyPr/>
        <a:p>
          <a:endParaRPr lang="zh-CN" altLang="en-US"/>
        </a:p>
      </dgm:t>
    </dgm:pt>
    <dgm:pt modelId="{F0E0BDB1-0FCF-42B3-9565-A840E5F05E85}">
      <dgm:prSet phldrT="[文本]" custT="1"/>
      <dgm:spPr>
        <a:solidFill>
          <a:schemeClr val="accent5"/>
        </a:solidFill>
      </dgm:spPr>
      <dgm:t>
        <a:bodyPr/>
        <a:p>
          <a:pPr algn="ctr"/>
          <a:r>
            <a:rPr lang="zh-CN" altLang="en-US" sz="1050" baseline="0">
              <a:latin typeface="Times New Roman" panose="02020603050405020304" charset="0"/>
              <a:ea typeface="宋体" panose="02010600030101010101" charset="-122"/>
            </a:rPr>
            <a:t>就业率</a:t>
          </a:r>
          <a:r>
            <a:rPr lang="en-US" altLang="zh-CN" sz="1050" baseline="0">
              <a:latin typeface="Times New Roman" panose="02020603050405020304" charset="0"/>
              <a:ea typeface="宋体" panose="02010600030101010101" charset="-122"/>
            </a:rPr>
            <a:t>96.42%</a:t>
          </a:r>
          <a:endParaRPr lang="zh-CN" altLang="en-US" sz="1050" baseline="0">
            <a:latin typeface="Times New Roman" panose="02020603050405020304" charset="0"/>
            <a:ea typeface="宋体" panose="02010600030101010101" charset="-122"/>
          </a:endParaRPr>
        </a:p>
      </dgm:t>
    </dgm:pt>
    <dgm:pt modelId="{F233E260-0541-406C-A4C3-0C19F39FFF92}" cxnId="{5A1459EE-9D18-4D45-8375-25F8DA52666B}" type="parTrans">
      <dgm:prSet/>
      <dgm:spPr/>
      <dgm:t>
        <a:bodyPr/>
        <a:p>
          <a:pPr algn="ctr"/>
          <a:endParaRPr lang="zh-CN" altLang="en-US"/>
        </a:p>
      </dgm:t>
    </dgm:pt>
    <dgm:pt modelId="{9B9471A4-4EE7-4F99-B064-72E659ACE77C}" cxnId="{5A1459EE-9D18-4D45-8375-25F8DA52666B}" type="sibTrans">
      <dgm:prSet/>
      <dgm:spPr/>
      <dgm:t>
        <a:bodyPr/>
        <a:p>
          <a:pPr algn="ctr"/>
          <a:endParaRPr lang="zh-CN" altLang="en-US"/>
        </a:p>
      </dgm:t>
    </dgm:pt>
    <dgm:pt modelId="{D27C7B57-7308-4794-ABD4-7FD97C595500}">
      <dgm:prSet phldrT="[文本]" custT="1"/>
      <dgm:spPr>
        <a:solidFill>
          <a:srgbClr val="4E8BB2"/>
        </a:solidFill>
      </dgm:spPr>
      <dgm:t>
        <a:bodyPr/>
        <a:p>
          <a:pPr algn="ctr">
            <a:lnSpc>
              <a:spcPct val="100000"/>
            </a:lnSpc>
            <a:spcAft>
              <a:spcPts val="0"/>
            </a:spcAft>
          </a:pPr>
          <a:r>
            <a:rPr lang="zh-CN" altLang="en-US" sz="1000" baseline="0">
              <a:latin typeface="Times New Roman" panose="02020603050405020304" charset="0"/>
              <a:ea typeface="宋体" panose="02010600030101010101" charset="-122"/>
            </a:rPr>
            <a:t>单位</a:t>
          </a:r>
          <a:endParaRPr lang="en-US" altLang="zh-CN" sz="1000" baseline="0">
            <a:latin typeface="Times New Roman" panose="02020603050405020304" charset="0"/>
            <a:ea typeface="宋体" panose="02010600030101010101" charset="-122"/>
          </a:endParaRPr>
        </a:p>
        <a:p>
          <a:pPr algn="ctr">
            <a:lnSpc>
              <a:spcPct val="100000"/>
            </a:lnSpc>
            <a:spcAft>
              <a:spcPts val="0"/>
            </a:spcAft>
          </a:pPr>
          <a:r>
            <a:rPr lang="zh-CN" altLang="en-US" sz="1000" baseline="0">
              <a:latin typeface="宋体" panose="02010600030101010101" charset="-122"/>
              <a:ea typeface="宋体" panose="02010600030101010101" charset="-122"/>
            </a:rPr>
            <a:t>就业</a:t>
          </a:r>
          <a:r>
            <a:rPr lang="en-US" altLang="zh-CN" sz="1000" baseline="0">
              <a:latin typeface="宋体" panose="02010600030101010101" charset="-122"/>
              <a:ea typeface="宋体" panose="02010600030101010101" charset="-122"/>
            </a:rPr>
            <a:t>84.17</a:t>
          </a:r>
          <a:r>
            <a:rPr lang="en-US" altLang="zh-CN" sz="1000" b="0" i="0" u="none">
              <a:latin typeface="微软雅黑" panose="020B0503020204020204" pitchFamily="2" charset="-122"/>
              <a:ea typeface="微软雅黑" panose="020B0503020204020204" pitchFamily="2" charset="-122"/>
            </a:rPr>
            <a:t>%</a:t>
          </a:r>
          <a:endParaRPr lang="zh-CN" altLang="en-US" sz="1000">
            <a:latin typeface="微软雅黑" panose="020B0503020204020204" pitchFamily="2" charset="-122"/>
            <a:ea typeface="微软雅黑" panose="020B0503020204020204" pitchFamily="2" charset="-122"/>
          </a:endParaRPr>
        </a:p>
      </dgm:t>
    </dgm:pt>
    <dgm:pt modelId="{3D567B3E-A382-499F-B826-64A7418C1289}" cxnId="{E77FD820-42D1-4A69-A3BD-C95FE63BE988}" type="parTrans">
      <dgm:prSet/>
      <dgm:spPr/>
      <dgm:t>
        <a:bodyPr/>
        <a:p>
          <a:pPr algn="ctr"/>
          <a:endParaRPr lang="zh-CN" altLang="en-US"/>
        </a:p>
      </dgm:t>
    </dgm:pt>
    <dgm:pt modelId="{9440255B-9EC2-4DF4-A9F5-CDEF9DB2BE53}" cxnId="{E77FD820-42D1-4A69-A3BD-C95FE63BE988}" type="sibTrans">
      <dgm:prSet/>
      <dgm:spPr>
        <a:solidFill>
          <a:schemeClr val="bg1">
            <a:lumMod val="65000"/>
          </a:schemeClr>
        </a:solidFill>
      </dgm:spPr>
      <dgm:t>
        <a:bodyPr/>
        <a:p>
          <a:pPr algn="ctr"/>
          <a:endParaRPr lang="zh-CN" altLang="en-US"/>
        </a:p>
      </dgm:t>
    </dgm:pt>
    <dgm:pt modelId="{B8E97C64-3701-4EBE-B6E2-C11BC465B44E}">
      <dgm:prSet phldrT="[文本]" custT="1"/>
      <dgm:spPr>
        <a:solidFill>
          <a:srgbClr val="EF8046"/>
        </a:solidFill>
      </dgm:spPr>
      <dgm:t>
        <a:bodyPr/>
        <a:p>
          <a:pPr algn="ctr"/>
          <a:r>
            <a:rPr lang="zh-CN" sz="1000" baseline="0">
              <a:latin typeface="Times New Roman" panose="02020603050405020304" charset="0"/>
              <a:ea typeface="宋体" panose="02010600030101010101" charset="-122"/>
            </a:rPr>
            <a:t>升学</a:t>
          </a:r>
          <a:r>
            <a:rPr lang="en-US" altLang="zh-CN" sz="1000" baseline="0">
              <a:latin typeface="Times New Roman" panose="02020603050405020304" charset="0"/>
              <a:ea typeface="宋体" panose="02010600030101010101" charset="-122"/>
            </a:rPr>
            <a:t>11.70</a:t>
          </a:r>
          <a:r>
            <a:rPr lang="en-US" sz="1000" baseline="0">
              <a:latin typeface="Times New Roman" panose="02020603050405020304" charset="0"/>
              <a:ea typeface="宋体" panose="02010600030101010101" charset="-122"/>
            </a:rPr>
            <a:t>%</a:t>
          </a:r>
          <a:endParaRPr lang="zh-CN" altLang="en-US" sz="1000" baseline="0">
            <a:latin typeface="Times New Roman" panose="02020603050405020304" charset="0"/>
            <a:ea typeface="宋体" panose="02010600030101010101" charset="-122"/>
          </a:endParaRPr>
        </a:p>
      </dgm:t>
    </dgm:pt>
    <dgm:pt modelId="{BA7518C1-E429-4906-8156-E9B6812158D3}" cxnId="{AA57C90F-D7D4-4B04-AD85-79DA57ED49E5}" type="parTrans">
      <dgm:prSet/>
      <dgm:spPr/>
      <dgm:t>
        <a:bodyPr/>
        <a:p>
          <a:pPr algn="ctr"/>
          <a:endParaRPr lang="zh-CN" altLang="en-US"/>
        </a:p>
      </dgm:t>
    </dgm:pt>
    <dgm:pt modelId="{2021EBF6-17EC-4A30-9903-B254120B000C}" cxnId="{AA57C90F-D7D4-4B04-AD85-79DA57ED49E5}" type="sibTrans">
      <dgm:prSet/>
      <dgm:spPr>
        <a:solidFill>
          <a:schemeClr val="bg1">
            <a:lumMod val="65000"/>
          </a:schemeClr>
        </a:solidFill>
      </dgm:spPr>
      <dgm:t>
        <a:bodyPr/>
        <a:p>
          <a:pPr algn="ctr"/>
          <a:endParaRPr lang="zh-CN" altLang="en-US"/>
        </a:p>
      </dgm:t>
    </dgm:pt>
    <dgm:pt modelId="{DAB4EB50-24BF-4D06-A8F5-60F2D9AA1CF9}">
      <dgm:prSet custT="1"/>
      <dgm:spPr>
        <a:solidFill>
          <a:srgbClr val="4EB389"/>
        </a:solidFill>
      </dgm:spPr>
      <dgm:t>
        <a:bodyPr/>
        <a:p>
          <a:pPr algn="ctr"/>
          <a:r>
            <a:rPr lang="zh-CN" altLang="en-US" sz="1050" baseline="0">
              <a:latin typeface="Times New Roman" panose="02020603050405020304" charset="0"/>
              <a:ea typeface="宋体" panose="02010600030101010101" charset="-122"/>
            </a:rPr>
            <a:t>未就业</a:t>
          </a:r>
          <a:r>
            <a:rPr lang="en-US" sz="1000" baseline="0">
              <a:latin typeface="Times New Roman" panose="02020603050405020304" charset="0"/>
              <a:ea typeface="宋体" panose="02010600030101010101" charset="-122"/>
            </a:rPr>
            <a:t>3.59</a:t>
          </a:r>
          <a:r>
            <a:rPr lang="en-US" altLang="zh-CN" sz="1050" baseline="0">
              <a:latin typeface="Times New Roman" panose="02020603050405020304" charset="0"/>
              <a:ea typeface="宋体" panose="02010600030101010101" charset="-122"/>
            </a:rPr>
            <a:t>%</a:t>
          </a:r>
          <a:endParaRPr lang="zh-CN" altLang="en-US" sz="1050" baseline="0">
            <a:latin typeface="Times New Roman" panose="02020603050405020304" charset="0"/>
            <a:ea typeface="宋体" panose="02010600030101010101" charset="-122"/>
          </a:endParaRPr>
        </a:p>
      </dgm:t>
    </dgm:pt>
    <dgm:pt modelId="{52BA1E3D-3915-4315-A714-355DFCB3EE7D}" cxnId="{75FA59EA-2870-4AF2-B3CE-B0BC74F5AC14}" type="parTrans">
      <dgm:prSet/>
      <dgm:spPr/>
      <dgm:t>
        <a:bodyPr/>
        <a:p>
          <a:pPr algn="ctr"/>
          <a:endParaRPr lang="zh-CN" altLang="en-US"/>
        </a:p>
      </dgm:t>
    </dgm:pt>
    <dgm:pt modelId="{688CCA80-9770-43B6-960B-93731C2AE1A6}" cxnId="{75FA59EA-2870-4AF2-B3CE-B0BC74F5AC14}" type="sibTrans">
      <dgm:prSet/>
      <dgm:spPr>
        <a:solidFill>
          <a:schemeClr val="bg1">
            <a:lumMod val="65000"/>
          </a:schemeClr>
        </a:solidFill>
      </dgm:spPr>
      <dgm:t>
        <a:bodyPr/>
        <a:p>
          <a:pPr algn="ctr"/>
          <a:endParaRPr lang="zh-CN" altLang="en-US"/>
        </a:p>
      </dgm:t>
    </dgm:pt>
    <dgm:pt modelId="{726969E4-02BF-4012-BF07-D5F32B201AE0}">
      <dgm:prSet custT="1"/>
      <dgm:spPr>
        <a:solidFill>
          <a:srgbClr val="5DCCCB"/>
        </a:solidFill>
      </dgm:spPr>
      <dgm:t>
        <a:bodyPr/>
        <a:p>
          <a:pPr algn="ctr">
            <a:lnSpc>
              <a:spcPct val="100000"/>
            </a:lnSpc>
            <a:spcAft>
              <a:spcPts val="0"/>
            </a:spcAft>
          </a:pPr>
          <a:r>
            <a:rPr lang="zh-CN" sz="1000" baseline="0">
              <a:latin typeface="宋体" panose="02010600030101010101" charset="-122"/>
              <a:ea typeface="宋体" panose="02010600030101010101" charset="-122"/>
            </a:rPr>
            <a:t>出国</a:t>
          </a:r>
          <a:r>
            <a:rPr lang="en-US" altLang="zh-CN" sz="1050">
              <a:latin typeface="宋体" panose="02010600030101010101" charset="-122"/>
              <a:ea typeface="宋体" panose="02010600030101010101" charset="-122"/>
            </a:rPr>
            <a:t>(</a:t>
          </a:r>
          <a:r>
            <a:rPr lang="zh-CN" sz="1050">
              <a:latin typeface="宋体" panose="02010600030101010101" charset="-122"/>
              <a:ea typeface="宋体" panose="02010600030101010101" charset="-122"/>
            </a:rPr>
            <a:t>境</a:t>
          </a:r>
          <a:r>
            <a:rPr lang="en-US" altLang="zh-CN" sz="1050">
              <a:latin typeface="宋体" panose="02010600030101010101" charset="-122"/>
              <a:ea typeface="宋体" panose="02010600030101010101" charset="-122"/>
            </a:rPr>
            <a:t>)</a:t>
          </a:r>
        </a:p>
        <a:p>
          <a:pPr algn="ctr">
            <a:lnSpc>
              <a:spcPct val="100000"/>
            </a:lnSpc>
            <a:spcAft>
              <a:spcPts val="0"/>
            </a:spcAft>
          </a:pPr>
          <a:r>
            <a:rPr lang="en-US" sz="1050">
              <a:latin typeface="Times New Roman" panose="02020603050405020304" charset="0"/>
              <a:ea typeface="微软雅黑" panose="020B0503020204020204" pitchFamily="2" charset="-122"/>
              <a:cs typeface="Times New Roman" panose="02020603050405020304" charset="0"/>
            </a:rPr>
            <a:t>0.22%</a:t>
          </a:r>
          <a:endParaRPr lang="zh-CN" altLang="en-US" sz="1050">
            <a:latin typeface="Times New Roman" panose="02020603050405020304" charset="0"/>
            <a:ea typeface="微软雅黑" panose="020B0503020204020204" pitchFamily="2" charset="-122"/>
            <a:cs typeface="Times New Roman" panose="02020603050405020304" charset="0"/>
          </a:endParaRPr>
        </a:p>
      </dgm:t>
    </dgm:pt>
    <dgm:pt modelId="{7B0AAE9C-57FB-4D82-AB64-2BBD66322BAF}" cxnId="{9D105A1E-8235-4D9F-8022-1A6E007E474E}" type="parTrans">
      <dgm:prSet/>
      <dgm:spPr/>
      <dgm:t>
        <a:bodyPr/>
        <a:p>
          <a:pPr algn="ctr"/>
          <a:endParaRPr lang="zh-CN" altLang="en-US"/>
        </a:p>
      </dgm:t>
    </dgm:pt>
    <dgm:pt modelId="{6A63E68B-03A5-465E-933F-0AEA9AA67396}" cxnId="{9D105A1E-8235-4D9F-8022-1A6E007E474E}" type="sibTrans">
      <dgm:prSet/>
      <dgm:spPr>
        <a:solidFill>
          <a:schemeClr val="bg1">
            <a:lumMod val="65000"/>
          </a:schemeClr>
        </a:solidFill>
      </dgm:spPr>
      <dgm:t>
        <a:bodyPr/>
        <a:p>
          <a:pPr algn="ctr"/>
          <a:endParaRPr lang="zh-CN" altLang="en-US"/>
        </a:p>
      </dgm:t>
    </dgm:pt>
    <dgm:pt modelId="{F89CCA8F-D993-4526-9B72-D4BD50820E14}">
      <dgm:prSet custT="1"/>
      <dgm:spPr>
        <a:solidFill>
          <a:srgbClr val="FEC74C"/>
        </a:solidFill>
      </dgm:spPr>
      <dgm:t>
        <a:bodyPr/>
        <a:p>
          <a:pPr algn="ctr">
            <a:lnSpc>
              <a:spcPct val="100000"/>
            </a:lnSpc>
            <a:spcAft>
              <a:spcPts val="0"/>
            </a:spcAft>
          </a:pPr>
          <a:r>
            <a:rPr lang="zh-CN" altLang="en-US" sz="1000" b="0" i="0" u="none">
              <a:latin typeface="宋体" panose="02010600030101010101" charset="-122"/>
              <a:ea typeface="宋体" panose="02010600030101010101" charset="-122"/>
            </a:rPr>
            <a:t>灵活</a:t>
          </a:r>
          <a:endParaRPr lang="en-US" altLang="zh-CN" sz="1000" b="0" i="0" u="none">
            <a:latin typeface="宋体" panose="02010600030101010101" charset="-122"/>
            <a:ea typeface="宋体" panose="02010600030101010101" charset="-122"/>
          </a:endParaRPr>
        </a:p>
        <a:p>
          <a:pPr algn="ctr">
            <a:lnSpc>
              <a:spcPct val="100000"/>
            </a:lnSpc>
            <a:spcAft>
              <a:spcPts val="0"/>
            </a:spcAft>
          </a:pPr>
          <a:r>
            <a:rPr lang="zh-CN" altLang="en-US" sz="1000" b="0" i="0" u="none">
              <a:latin typeface="宋体" panose="02010600030101010101" charset="-122"/>
              <a:ea typeface="宋体" panose="02010600030101010101" charset="-122"/>
            </a:rPr>
            <a:t>就业</a:t>
          </a:r>
          <a:endParaRPr lang="en-US" altLang="zh-CN" sz="1000" b="0" i="0" u="none" baseline="0">
            <a:latin typeface="宋体" panose="02010600030101010101" charset="-122"/>
            <a:ea typeface="宋体" panose="02010600030101010101" charset="-122"/>
          </a:endParaRPr>
        </a:p>
        <a:p>
          <a:pPr algn="ctr">
            <a:lnSpc>
              <a:spcPct val="100000"/>
            </a:lnSpc>
            <a:spcAft>
              <a:spcPts val="0"/>
            </a:spcAft>
          </a:pPr>
          <a:r>
            <a:rPr lang="en-US" altLang="zh-CN" sz="1000" b="0" i="0" u="none" baseline="0">
              <a:latin typeface="Times New Roman" panose="02020603050405020304" charset="0"/>
              <a:ea typeface="宋体" panose="02010600030101010101" charset="-122"/>
            </a:rPr>
            <a:t>0.33</a:t>
          </a:r>
          <a:r>
            <a:rPr lang="en-US" altLang="zh-CN" sz="1000" b="0" i="0" u="none">
              <a:latin typeface="微软雅黑" panose="020B0503020204020204" pitchFamily="2" charset="-122"/>
              <a:ea typeface="微软雅黑" panose="020B0503020204020204" pitchFamily="2" charset="-122"/>
            </a:rPr>
            <a:t>%</a:t>
          </a:r>
          <a:endParaRPr lang="zh-CN" altLang="en-US" sz="1000">
            <a:latin typeface="微软雅黑" panose="020B0503020204020204" pitchFamily="2" charset="-122"/>
            <a:ea typeface="微软雅黑" panose="020B0503020204020204" pitchFamily="2" charset="-122"/>
          </a:endParaRPr>
        </a:p>
      </dgm:t>
    </dgm:pt>
    <dgm:pt modelId="{B889CCA0-E5D5-4248-AA74-BEFD05A77191}" cxnId="{EE2D2AA0-86BD-42C6-8A52-746A0C7CFA66}" type="parTrans">
      <dgm:prSet/>
      <dgm:spPr/>
      <dgm:t>
        <a:bodyPr/>
        <a:p>
          <a:pPr algn="ctr"/>
          <a:endParaRPr lang="zh-CN" altLang="en-US"/>
        </a:p>
      </dgm:t>
    </dgm:pt>
    <dgm:pt modelId="{6D3160A3-CA3D-44A3-B23E-63E5F8795BAC}" cxnId="{EE2D2AA0-86BD-42C6-8A52-746A0C7CFA66}" type="sibTrans">
      <dgm:prSet/>
      <dgm:spPr>
        <a:solidFill>
          <a:schemeClr val="bg1">
            <a:lumMod val="65000"/>
          </a:schemeClr>
        </a:solidFill>
      </dgm:spPr>
      <dgm:t>
        <a:bodyPr/>
        <a:p>
          <a:pPr algn="ctr"/>
          <a:endParaRPr lang="zh-CN" altLang="en-US"/>
        </a:p>
      </dgm:t>
    </dgm:pt>
    <dgm:pt modelId="{57C1287C-1ED5-4B10-BC0C-E85808BB6D4B}" type="pres">
      <dgm:prSet presAssocID="{44513045-024A-4A3A-80BF-CB72FBF8BC70}" presName="Name0" presStyleCnt="0">
        <dgm:presLayoutVars>
          <dgm:chMax val="1"/>
          <dgm:dir/>
          <dgm:animLvl val="ctr"/>
          <dgm:resizeHandles val="exact"/>
        </dgm:presLayoutVars>
      </dgm:prSet>
      <dgm:spPr/>
    </dgm:pt>
    <dgm:pt modelId="{57228AE0-43E6-4EDB-B00E-0A69E45D99C7}" type="pres">
      <dgm:prSet presAssocID="{F0E0BDB1-0FCF-42B3-9565-A840E5F05E85}" presName="centerShape" presStyleLbl="node0" presStyleIdx="0" presStyleCnt="1" custScaleX="122987" custScaleY="124234"/>
      <dgm:spPr/>
    </dgm:pt>
    <dgm:pt modelId="{1114DC63-9BA4-413E-8F51-694814FAA0E5}" type="pres">
      <dgm:prSet presAssocID="{D27C7B57-7308-4794-ABD4-7FD97C595500}" presName="node" presStyleLbl="node1" presStyleIdx="0" presStyleCnt="5">
        <dgm:presLayoutVars>
          <dgm:bulletEnabled val="1"/>
        </dgm:presLayoutVars>
      </dgm:prSet>
      <dgm:spPr/>
    </dgm:pt>
    <dgm:pt modelId="{384B50C2-787E-4F70-B128-CE644101C343}" type="pres">
      <dgm:prSet presAssocID="{D27C7B57-7308-4794-ABD4-7FD97C595500}" presName="dummy" presStyleCnt="0"/>
      <dgm:spPr/>
    </dgm:pt>
    <dgm:pt modelId="{FBF03D36-1069-44AD-B8A3-D0B3A9CA970A}" type="pres">
      <dgm:prSet presAssocID="{9440255B-9EC2-4DF4-A9F5-CDEF9DB2BE53}" presName="sibTrans" presStyleLbl="sibTrans2D1" presStyleIdx="0" presStyleCnt="5"/>
      <dgm:spPr/>
    </dgm:pt>
    <dgm:pt modelId="{9177BE18-6DF9-44C0-B87E-72539638F9A3}" type="pres">
      <dgm:prSet presAssocID="{B8E97C64-3701-4EBE-B6E2-C11BC465B44E}" presName="node" presStyleLbl="node1" presStyleIdx="1" presStyleCnt="5">
        <dgm:presLayoutVars>
          <dgm:bulletEnabled val="1"/>
        </dgm:presLayoutVars>
      </dgm:prSet>
      <dgm:spPr/>
    </dgm:pt>
    <dgm:pt modelId="{79BF87E3-8149-427A-845E-2047881C1949}" type="pres">
      <dgm:prSet presAssocID="{B8E97C64-3701-4EBE-B6E2-C11BC465B44E}" presName="dummy" presStyleCnt="0"/>
      <dgm:spPr/>
    </dgm:pt>
    <dgm:pt modelId="{96EE10E0-7458-450C-8E87-6D4A381CE823}" type="pres">
      <dgm:prSet presAssocID="{2021EBF6-17EC-4A30-9903-B254120B000C}" presName="sibTrans" presStyleLbl="sibTrans2D1" presStyleIdx="1" presStyleCnt="5"/>
      <dgm:spPr/>
    </dgm:pt>
    <dgm:pt modelId="{9B7FB02C-872C-42C5-81B3-D631E069B7E0}" type="pres">
      <dgm:prSet presAssocID="{F89CCA8F-D993-4526-9B72-D4BD50820E14}" presName="node" presStyleLbl="node1" presStyleIdx="2" presStyleCnt="5">
        <dgm:presLayoutVars>
          <dgm:bulletEnabled val="1"/>
        </dgm:presLayoutVars>
      </dgm:prSet>
      <dgm:spPr/>
    </dgm:pt>
    <dgm:pt modelId="{99E38314-ECE2-47E7-B535-30DA2FC0BA4F}" type="pres">
      <dgm:prSet presAssocID="{F89CCA8F-D993-4526-9B72-D4BD50820E14}" presName="dummy" presStyleCnt="0"/>
      <dgm:spPr/>
    </dgm:pt>
    <dgm:pt modelId="{C40214B6-BEF1-4EFE-9CC3-14A05126CC1F}" type="pres">
      <dgm:prSet presAssocID="{6D3160A3-CA3D-44A3-B23E-63E5F8795BAC}" presName="sibTrans" presStyleLbl="sibTrans2D1" presStyleIdx="2" presStyleCnt="5"/>
      <dgm:spPr/>
    </dgm:pt>
    <dgm:pt modelId="{7924A0F9-4290-4E23-9022-DC82ECEA6835}" type="pres">
      <dgm:prSet presAssocID="{726969E4-02BF-4012-BF07-D5F32B201AE0}" presName="node" presStyleLbl="node1" presStyleIdx="3" presStyleCnt="5">
        <dgm:presLayoutVars>
          <dgm:bulletEnabled val="1"/>
        </dgm:presLayoutVars>
      </dgm:prSet>
      <dgm:spPr/>
    </dgm:pt>
    <dgm:pt modelId="{4E4A2E96-A93E-401E-8CA6-DEE11CB83231}" type="pres">
      <dgm:prSet presAssocID="{726969E4-02BF-4012-BF07-D5F32B201AE0}" presName="dummy" presStyleCnt="0"/>
      <dgm:spPr/>
    </dgm:pt>
    <dgm:pt modelId="{D529B6D9-8AEC-43C4-810D-4A378C78679A}" type="pres">
      <dgm:prSet presAssocID="{6A63E68B-03A5-465E-933F-0AEA9AA67396}" presName="sibTrans" presStyleLbl="sibTrans2D1" presStyleIdx="3" presStyleCnt="5"/>
      <dgm:spPr/>
    </dgm:pt>
    <dgm:pt modelId="{5FE11913-D2B9-42DE-9239-DB21DC9A5686}" type="pres">
      <dgm:prSet presAssocID="{DAB4EB50-24BF-4D06-A8F5-60F2D9AA1CF9}" presName="node" presStyleLbl="node1" presStyleIdx="4" presStyleCnt="5">
        <dgm:presLayoutVars>
          <dgm:bulletEnabled val="1"/>
        </dgm:presLayoutVars>
      </dgm:prSet>
      <dgm:spPr/>
    </dgm:pt>
    <dgm:pt modelId="{85A115F0-0343-4226-8AB2-752A78AB2C52}" type="pres">
      <dgm:prSet presAssocID="{DAB4EB50-24BF-4D06-A8F5-60F2D9AA1CF9}" presName="dummy" presStyleCnt="0"/>
      <dgm:spPr/>
    </dgm:pt>
    <dgm:pt modelId="{7CF438E3-FD59-40B7-A387-C398D0492857}" type="pres">
      <dgm:prSet presAssocID="{688CCA80-9770-43B6-960B-93731C2AE1A6}" presName="sibTrans" presStyleLbl="sibTrans2D1" presStyleIdx="4" presStyleCnt="5"/>
      <dgm:spPr/>
    </dgm:pt>
  </dgm:ptLst>
  <dgm:cxnLst>
    <dgm:cxn modelId="{ECA2CE08-4DA4-40D1-8B58-2B38942AE4C3}" type="presOf" srcId="{726969E4-02BF-4012-BF07-D5F32B201AE0}" destId="{7924A0F9-4290-4E23-9022-DC82ECEA6835}" srcOrd="0" destOrd="0" presId="urn:microsoft.com/office/officeart/2005/8/layout/radial6#1"/>
    <dgm:cxn modelId="{AA57C90F-D7D4-4B04-AD85-79DA57ED49E5}" srcId="{F0E0BDB1-0FCF-42B3-9565-A840E5F05E85}" destId="{B8E97C64-3701-4EBE-B6E2-C11BC465B44E}" srcOrd="1" destOrd="0" parTransId="{BA7518C1-E429-4906-8156-E9B6812158D3}" sibTransId="{2021EBF6-17EC-4A30-9903-B254120B000C}"/>
    <dgm:cxn modelId="{9D105A1E-8235-4D9F-8022-1A6E007E474E}" srcId="{F0E0BDB1-0FCF-42B3-9565-A840E5F05E85}" destId="{726969E4-02BF-4012-BF07-D5F32B201AE0}" srcOrd="3" destOrd="0" parTransId="{7B0AAE9C-57FB-4D82-AB64-2BBD66322BAF}" sibTransId="{6A63E68B-03A5-465E-933F-0AEA9AA67396}"/>
    <dgm:cxn modelId="{E77FD820-42D1-4A69-A3BD-C95FE63BE988}" srcId="{F0E0BDB1-0FCF-42B3-9565-A840E5F05E85}" destId="{D27C7B57-7308-4794-ABD4-7FD97C595500}" srcOrd="0" destOrd="0" parTransId="{3D567B3E-A382-499F-B826-64A7418C1289}" sibTransId="{9440255B-9EC2-4DF4-A9F5-CDEF9DB2BE53}"/>
    <dgm:cxn modelId="{59AC693B-31C6-4065-8A12-08A1F5942DE6}" type="presOf" srcId="{F89CCA8F-D993-4526-9B72-D4BD50820E14}" destId="{9B7FB02C-872C-42C5-81B3-D631E069B7E0}" srcOrd="0" destOrd="0" presId="urn:microsoft.com/office/officeart/2005/8/layout/radial6#1"/>
    <dgm:cxn modelId="{6518FE86-972B-4284-A16E-15475C41114A}" type="presOf" srcId="{44513045-024A-4A3A-80BF-CB72FBF8BC70}" destId="{57C1287C-1ED5-4B10-BC0C-E85808BB6D4B}" srcOrd="0" destOrd="0" presId="urn:microsoft.com/office/officeart/2005/8/layout/radial6#1"/>
    <dgm:cxn modelId="{754BC99B-680A-4215-B632-D822E721DF63}" type="presOf" srcId="{688CCA80-9770-43B6-960B-93731C2AE1A6}" destId="{7CF438E3-FD59-40B7-A387-C398D0492857}" srcOrd="0" destOrd="0" presId="urn:microsoft.com/office/officeart/2005/8/layout/radial6#1"/>
    <dgm:cxn modelId="{EE2D2AA0-86BD-42C6-8A52-746A0C7CFA66}" srcId="{F0E0BDB1-0FCF-42B3-9565-A840E5F05E85}" destId="{F89CCA8F-D993-4526-9B72-D4BD50820E14}" srcOrd="2" destOrd="0" parTransId="{B889CCA0-E5D5-4248-AA74-BEFD05A77191}" sibTransId="{6D3160A3-CA3D-44A3-B23E-63E5F8795BAC}"/>
    <dgm:cxn modelId="{041007C1-E7B5-4AD9-A107-EC021B302B40}" type="presOf" srcId="{F0E0BDB1-0FCF-42B3-9565-A840E5F05E85}" destId="{57228AE0-43E6-4EDB-B00E-0A69E45D99C7}" srcOrd="0" destOrd="0" presId="urn:microsoft.com/office/officeart/2005/8/layout/radial6#1"/>
    <dgm:cxn modelId="{A64CE3D4-74A6-49FE-9941-E991D028BE37}" type="presOf" srcId="{B8E97C64-3701-4EBE-B6E2-C11BC465B44E}" destId="{9177BE18-6DF9-44C0-B87E-72539638F9A3}" srcOrd="0" destOrd="0" presId="urn:microsoft.com/office/officeart/2005/8/layout/radial6#1"/>
    <dgm:cxn modelId="{2B068CD7-7D6A-4020-B2B6-E8A9A40D96E1}" type="presOf" srcId="{D27C7B57-7308-4794-ABD4-7FD97C595500}" destId="{1114DC63-9BA4-413E-8F51-694814FAA0E5}" srcOrd="0" destOrd="0" presId="urn:microsoft.com/office/officeart/2005/8/layout/radial6#1"/>
    <dgm:cxn modelId="{29E902E2-93B3-4AAB-860A-EADD80C6CDCD}" type="presOf" srcId="{6A63E68B-03A5-465E-933F-0AEA9AA67396}" destId="{D529B6D9-8AEC-43C4-810D-4A378C78679A}" srcOrd="0" destOrd="0" presId="urn:microsoft.com/office/officeart/2005/8/layout/radial6#1"/>
    <dgm:cxn modelId="{722B33EA-CEE4-479C-881B-00700935495D}" type="presOf" srcId="{9440255B-9EC2-4DF4-A9F5-CDEF9DB2BE53}" destId="{FBF03D36-1069-44AD-B8A3-D0B3A9CA970A}" srcOrd="0" destOrd="0" presId="urn:microsoft.com/office/officeart/2005/8/layout/radial6#1"/>
    <dgm:cxn modelId="{75FA59EA-2870-4AF2-B3CE-B0BC74F5AC14}" srcId="{F0E0BDB1-0FCF-42B3-9565-A840E5F05E85}" destId="{DAB4EB50-24BF-4D06-A8F5-60F2D9AA1CF9}" srcOrd="4" destOrd="0" parTransId="{52BA1E3D-3915-4315-A714-355DFCB3EE7D}" sibTransId="{688CCA80-9770-43B6-960B-93731C2AE1A6}"/>
    <dgm:cxn modelId="{5A1459EE-9D18-4D45-8375-25F8DA52666B}" srcId="{44513045-024A-4A3A-80BF-CB72FBF8BC70}" destId="{F0E0BDB1-0FCF-42B3-9565-A840E5F05E85}" srcOrd="0" destOrd="0" parTransId="{F233E260-0541-406C-A4C3-0C19F39FFF92}" sibTransId="{9B9471A4-4EE7-4F99-B064-72E659ACE77C}"/>
    <dgm:cxn modelId="{0EA1FDF2-2788-4388-98E3-AC7B2E7FFDBF}" type="presOf" srcId="{DAB4EB50-24BF-4D06-A8F5-60F2D9AA1CF9}" destId="{5FE11913-D2B9-42DE-9239-DB21DC9A5686}" srcOrd="0" destOrd="0" presId="urn:microsoft.com/office/officeart/2005/8/layout/radial6#1"/>
    <dgm:cxn modelId="{3C0F23F7-8CF0-4BC7-A128-9155EE985F1E}" type="presOf" srcId="{6D3160A3-CA3D-44A3-B23E-63E5F8795BAC}" destId="{C40214B6-BEF1-4EFE-9CC3-14A05126CC1F}" srcOrd="0" destOrd="0" presId="urn:microsoft.com/office/officeart/2005/8/layout/radial6#1"/>
    <dgm:cxn modelId="{A107E0FE-66FE-4F9B-A679-A4F5D54BC74D}" type="presOf" srcId="{2021EBF6-17EC-4A30-9903-B254120B000C}" destId="{96EE10E0-7458-450C-8E87-6D4A381CE823}" srcOrd="0" destOrd="0" presId="urn:microsoft.com/office/officeart/2005/8/layout/radial6#1"/>
    <dgm:cxn modelId="{B8EEA32A-6BA3-46EC-95E2-544AB5C8BE88}" type="presParOf" srcId="{57C1287C-1ED5-4B10-BC0C-E85808BB6D4B}" destId="{57228AE0-43E6-4EDB-B00E-0A69E45D99C7}" srcOrd="0" destOrd="0" presId="urn:microsoft.com/office/officeart/2005/8/layout/radial6#1"/>
    <dgm:cxn modelId="{DE7773F9-52F0-4899-8880-5601174F7573}" type="presParOf" srcId="{57C1287C-1ED5-4B10-BC0C-E85808BB6D4B}" destId="{1114DC63-9BA4-413E-8F51-694814FAA0E5}" srcOrd="1" destOrd="0" presId="urn:microsoft.com/office/officeart/2005/8/layout/radial6#1"/>
    <dgm:cxn modelId="{FBE08CA6-A2F4-4986-822B-3D163F3D5939}" type="presParOf" srcId="{57C1287C-1ED5-4B10-BC0C-E85808BB6D4B}" destId="{384B50C2-787E-4F70-B128-CE644101C343}" srcOrd="2" destOrd="0" presId="urn:microsoft.com/office/officeart/2005/8/layout/radial6#1"/>
    <dgm:cxn modelId="{F5D2F987-7923-46B6-A514-E463B433A95D}" type="presParOf" srcId="{57C1287C-1ED5-4B10-BC0C-E85808BB6D4B}" destId="{FBF03D36-1069-44AD-B8A3-D0B3A9CA970A}" srcOrd="3" destOrd="0" presId="urn:microsoft.com/office/officeart/2005/8/layout/radial6#1"/>
    <dgm:cxn modelId="{F08BF9FA-9812-4C85-B069-9585A3081E90}" type="presParOf" srcId="{57C1287C-1ED5-4B10-BC0C-E85808BB6D4B}" destId="{9177BE18-6DF9-44C0-B87E-72539638F9A3}" srcOrd="4" destOrd="0" presId="urn:microsoft.com/office/officeart/2005/8/layout/radial6#1"/>
    <dgm:cxn modelId="{328D2A96-B8E5-4F02-B71E-059C4F783FD3}" type="presParOf" srcId="{57C1287C-1ED5-4B10-BC0C-E85808BB6D4B}" destId="{79BF87E3-8149-427A-845E-2047881C1949}" srcOrd="5" destOrd="0" presId="urn:microsoft.com/office/officeart/2005/8/layout/radial6#1"/>
    <dgm:cxn modelId="{61484458-8EBB-47AB-8827-BB427B72B7B8}" type="presParOf" srcId="{57C1287C-1ED5-4B10-BC0C-E85808BB6D4B}" destId="{96EE10E0-7458-450C-8E87-6D4A381CE823}" srcOrd="6" destOrd="0" presId="urn:microsoft.com/office/officeart/2005/8/layout/radial6#1"/>
    <dgm:cxn modelId="{27618E7C-43F6-402C-A760-83CD1F63D3E4}" type="presParOf" srcId="{57C1287C-1ED5-4B10-BC0C-E85808BB6D4B}" destId="{9B7FB02C-872C-42C5-81B3-D631E069B7E0}" srcOrd="7" destOrd="0" presId="urn:microsoft.com/office/officeart/2005/8/layout/radial6#1"/>
    <dgm:cxn modelId="{FE3B13AB-99D0-423E-AEAD-06D627C139AB}" type="presParOf" srcId="{57C1287C-1ED5-4B10-BC0C-E85808BB6D4B}" destId="{99E38314-ECE2-47E7-B535-30DA2FC0BA4F}" srcOrd="8" destOrd="0" presId="urn:microsoft.com/office/officeart/2005/8/layout/radial6#1"/>
    <dgm:cxn modelId="{7326D741-19E2-4040-AF75-FAF16E2854A3}" type="presParOf" srcId="{57C1287C-1ED5-4B10-BC0C-E85808BB6D4B}" destId="{C40214B6-BEF1-4EFE-9CC3-14A05126CC1F}" srcOrd="9" destOrd="0" presId="urn:microsoft.com/office/officeart/2005/8/layout/radial6#1"/>
    <dgm:cxn modelId="{85AE4E09-1D68-4F41-9E68-C1DA530A2D6F}" type="presParOf" srcId="{57C1287C-1ED5-4B10-BC0C-E85808BB6D4B}" destId="{7924A0F9-4290-4E23-9022-DC82ECEA6835}" srcOrd="10" destOrd="0" presId="urn:microsoft.com/office/officeart/2005/8/layout/radial6#1"/>
    <dgm:cxn modelId="{BA5D7515-F71D-45DF-98B8-2CB703C2B81C}" type="presParOf" srcId="{57C1287C-1ED5-4B10-BC0C-E85808BB6D4B}" destId="{4E4A2E96-A93E-401E-8CA6-DEE11CB83231}" srcOrd="11" destOrd="0" presId="urn:microsoft.com/office/officeart/2005/8/layout/radial6#1"/>
    <dgm:cxn modelId="{0E36928A-4B4E-46A9-9701-F4F08DB9ED95}" type="presParOf" srcId="{57C1287C-1ED5-4B10-BC0C-E85808BB6D4B}" destId="{D529B6D9-8AEC-43C4-810D-4A378C78679A}" srcOrd="12" destOrd="0" presId="urn:microsoft.com/office/officeart/2005/8/layout/radial6#1"/>
    <dgm:cxn modelId="{650D230B-3541-433E-ABA8-F38D146205B2}" type="presParOf" srcId="{57C1287C-1ED5-4B10-BC0C-E85808BB6D4B}" destId="{5FE11913-D2B9-42DE-9239-DB21DC9A5686}" srcOrd="13" destOrd="0" presId="urn:microsoft.com/office/officeart/2005/8/layout/radial6#1"/>
    <dgm:cxn modelId="{C727FBA3-4A0E-4210-94CB-1AD2B2FF252F}" type="presParOf" srcId="{57C1287C-1ED5-4B10-BC0C-E85808BB6D4B}" destId="{85A115F0-0343-4226-8AB2-752A78AB2C52}" srcOrd="14" destOrd="0" presId="urn:microsoft.com/office/officeart/2005/8/layout/radial6#1"/>
    <dgm:cxn modelId="{611EB208-4AD7-4C10-8976-7D61ED233429}" type="presParOf" srcId="{57C1287C-1ED5-4B10-BC0C-E85808BB6D4B}" destId="{7CF438E3-FD59-40B7-A387-C398D0492857}" srcOrd="15" destOrd="0" presId="urn:microsoft.com/office/officeart/2005/8/layout/radial6#1"/>
  </dgm:cxnLst>
  <dgm:bg/>
  <dgm:whole/>
</dgm:dataModel>
</file>

<file path=word/diagrams/data2.xml><?xml version="1.0" encoding="utf-8"?>
<dgm:dataModel xmlns:dgm="http://schemas.openxmlformats.org/drawingml/2006/diagram" xmlns:a="http://schemas.openxmlformats.org/drawingml/2006/main">
  <dgm:ptLst>
    <dgm:pt modelId="{45D81A78-87EE-46DB-A1AB-DB9CA10B2F15}" type="doc">
      <dgm:prSet loTypeId="urn:microsoft.com/office/officeart/2008/layout/HexagonCluster" loCatId="relationship" qsTypeId="urn:microsoft.com/office/officeart/2005/8/quickstyle/simple3#1" qsCatId="simple" csTypeId="urn:microsoft.com/office/officeart/2005/8/colors/colorful5#1" csCatId="colorful" phldr="1"/>
      <dgm:spPr/>
      <dgm:t>
        <a:bodyPr/>
        <a:p>
          <a:endParaRPr lang="zh-CN" altLang="en-US"/>
        </a:p>
      </dgm:t>
    </dgm:pt>
    <dgm:pt modelId="{9601398C-B38B-4A43-AE24-C0310067A41C}">
      <dgm:prSet phldrT="[文本]" custT="1"/>
      <dgm:spPr>
        <a:solidFill>
          <a:srgbClr val="00A49D"/>
        </a:solidFill>
        <a:ln>
          <a:noFill/>
        </a:ln>
      </dgm:spPr>
      <dgm:t>
        <a:bodyPr/>
        <a:p>
          <a:r>
            <a:rPr lang="zh-CN" altLang="en-US" sz="1050" baseline="0">
              <a:solidFill>
                <a:schemeClr val="bg1"/>
              </a:solidFill>
              <a:latin typeface="Times New Roman" panose="02020603050405020304" charset="0"/>
              <a:ea typeface="宋体" panose="02010600030101010101" charset="-122"/>
            </a:rPr>
            <a:t>工作满意度</a:t>
          </a:r>
          <a:r>
            <a:rPr lang="en-US" sz="1050" baseline="0">
              <a:solidFill>
                <a:schemeClr val="bg1"/>
              </a:solidFill>
              <a:latin typeface="Times New Roman" panose="02020603050405020304" charset="0"/>
              <a:ea typeface="宋体" panose="02010600030101010101" charset="-122"/>
            </a:rPr>
            <a:t>9</a:t>
          </a:r>
          <a:r>
            <a:rPr lang="en-US" altLang="zh-CN" sz="1050" baseline="0">
              <a:solidFill>
                <a:schemeClr val="bg1"/>
              </a:solidFill>
              <a:latin typeface="Times New Roman" panose="02020603050405020304" charset="0"/>
              <a:ea typeface="宋体" panose="02010600030101010101" charset="-122"/>
            </a:rPr>
            <a:t>2</a:t>
          </a:r>
          <a:r>
            <a:rPr lang="en-US" sz="1050" baseline="0">
              <a:solidFill>
                <a:schemeClr val="bg1"/>
              </a:solidFill>
              <a:latin typeface="Times New Roman" panose="02020603050405020304" charset="0"/>
              <a:ea typeface="宋体" panose="02010600030101010101" charset="-122"/>
            </a:rPr>
            <a:t>.2</a:t>
          </a:r>
          <a:r>
            <a:rPr lang="en-US" altLang="zh-CN" sz="1050" baseline="0">
              <a:solidFill>
                <a:schemeClr val="bg1"/>
              </a:solidFill>
              <a:latin typeface="Times New Roman" panose="02020603050405020304" charset="0"/>
              <a:ea typeface="宋体" panose="02010600030101010101" charset="-122"/>
            </a:rPr>
            <a:t>0</a:t>
          </a:r>
          <a:r>
            <a:rPr lang="en-US" sz="1050" baseline="0">
              <a:solidFill>
                <a:schemeClr val="bg1"/>
              </a:solidFill>
              <a:latin typeface="Times New Roman" panose="02020603050405020304" charset="0"/>
              <a:ea typeface="宋体" panose="02010600030101010101" charset="-122"/>
            </a:rPr>
            <a:t>%</a:t>
          </a:r>
          <a:endParaRPr lang="zh-CN" altLang="en-US" sz="1050" baseline="0">
            <a:solidFill>
              <a:schemeClr val="bg1"/>
            </a:solidFill>
            <a:latin typeface="Times New Roman" panose="02020603050405020304" charset="0"/>
            <a:ea typeface="宋体" panose="02010600030101010101" charset="-122"/>
          </a:endParaRPr>
        </a:p>
      </dgm:t>
    </dgm:pt>
    <dgm:pt modelId="{4C5C4CDE-1CF4-4DAD-B0D3-4689A51BCDFA}" cxnId="{431825D9-5AC1-41D9-B309-5BD405E44B5D}" type="parTrans">
      <dgm:prSet/>
      <dgm:spPr/>
      <dgm:t>
        <a:bodyPr/>
        <a:p>
          <a:endParaRPr lang="zh-CN" altLang="en-US"/>
        </a:p>
      </dgm:t>
    </dgm:pt>
    <dgm:pt modelId="{24D69D1D-D85C-4BC1-9E05-676343505F04}" cxnId="{431825D9-5AC1-41D9-B309-5BD405E44B5D}" type="sibTrans">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t="-8000" b="-8000"/>
          </a:stretch>
        </a:blipFill>
        <a:ln>
          <a:noFill/>
        </a:ln>
      </dgm:spPr>
      <dgm:t>
        <a:bodyPr/>
        <a:p>
          <a:endParaRPr lang="zh-CN" altLang="en-US"/>
        </a:p>
      </dgm:t>
    </dgm:pt>
    <dgm:pt modelId="{82CC3864-E014-428A-A4EE-FF1D579979E7}">
      <dgm:prSet phldrT="[文本]" custT="1"/>
      <dgm:spPr>
        <a:solidFill>
          <a:srgbClr val="FEC74C"/>
        </a:solidFill>
        <a:ln>
          <a:noFill/>
        </a:ln>
      </dgm:spPr>
      <dgm:t>
        <a:bodyPr/>
        <a:p>
          <a:r>
            <a:rPr lang="zh-CN" altLang="en-US" sz="1050" baseline="0">
              <a:solidFill>
                <a:schemeClr val="bg1"/>
              </a:solidFill>
              <a:latin typeface="Times New Roman" panose="02020603050405020304" charset="0"/>
              <a:ea typeface="宋体" panose="02010600030101010101" charset="-122"/>
            </a:rPr>
            <a:t>职业期待吻合度</a:t>
          </a:r>
          <a:r>
            <a:rPr lang="en-US" sz="1050" baseline="0">
              <a:solidFill>
                <a:schemeClr val="bg1"/>
              </a:solidFill>
              <a:latin typeface="Times New Roman" panose="02020603050405020304" charset="0"/>
              <a:ea typeface="宋体" panose="02010600030101010101" charset="-122"/>
            </a:rPr>
            <a:t>8</a:t>
          </a:r>
          <a:r>
            <a:rPr lang="en-US" altLang="zh-CN" sz="1050" baseline="0">
              <a:solidFill>
                <a:schemeClr val="bg1"/>
              </a:solidFill>
              <a:latin typeface="Times New Roman" panose="02020603050405020304" charset="0"/>
              <a:ea typeface="宋体" panose="02010600030101010101" charset="-122"/>
            </a:rPr>
            <a:t>4.76</a:t>
          </a:r>
          <a:r>
            <a:rPr lang="en-US" sz="1050" baseline="0">
              <a:solidFill>
                <a:schemeClr val="bg1"/>
              </a:solidFill>
              <a:latin typeface="Times New Roman" panose="02020603050405020304" charset="0"/>
              <a:ea typeface="宋体" panose="02010600030101010101" charset="-122"/>
            </a:rPr>
            <a:t>%</a:t>
          </a:r>
          <a:endParaRPr lang="zh-CN" altLang="en-US" sz="1050" baseline="0">
            <a:solidFill>
              <a:schemeClr val="bg1"/>
            </a:solidFill>
            <a:latin typeface="Times New Roman" panose="02020603050405020304" charset="0"/>
            <a:ea typeface="宋体" panose="02010600030101010101" charset="-122"/>
          </a:endParaRPr>
        </a:p>
      </dgm:t>
    </dgm:pt>
    <dgm:pt modelId="{911F020E-E12B-49F2-896A-62FA3523C129}" cxnId="{3DB7F285-C178-434C-AEB0-36EC9964BCCA}" type="parTrans">
      <dgm:prSet/>
      <dgm:spPr/>
      <dgm:t>
        <a:bodyPr/>
        <a:p>
          <a:endParaRPr lang="zh-CN" altLang="en-US"/>
        </a:p>
      </dgm:t>
    </dgm:pt>
    <dgm:pt modelId="{9816642F-7252-4612-A030-725BCA83D4F6}" cxnId="{3DB7F285-C178-434C-AEB0-36EC9964BCCA}" type="sibTrans">
      <dgm:prSet/>
      <dgm:spPr>
        <a:blipFill>
          <a:blip xmlns:r="http://schemas.openxmlformats.org/officeDocument/2006/relationships" r:embed="rId2">
            <a:extLst>
              <a:ext uri="{28A0092B-C50C-407E-A947-70E740481C1C}">
                <a14:useLocalDpi xmlns:a14="http://schemas.microsoft.com/office/drawing/2010/main" val="0"/>
              </a:ext>
            </a:extLst>
          </a:blip>
          <a:srcRect/>
          <a:stretch>
            <a:fillRect t="-8000" b="-8000"/>
          </a:stretch>
        </a:blipFill>
        <a:ln>
          <a:noFill/>
        </a:ln>
      </dgm:spPr>
      <dgm:t>
        <a:bodyPr/>
        <a:p>
          <a:endParaRPr lang="zh-CN" altLang="en-US"/>
        </a:p>
      </dgm:t>
    </dgm:pt>
    <dgm:pt modelId="{2045C0F6-C21B-44B3-A3B0-72560779F0D1}">
      <dgm:prSet phldrT="[文本]" custT="1"/>
      <dgm:spPr>
        <a:solidFill>
          <a:srgbClr val="4E8BB2"/>
        </a:solidFill>
        <a:ln>
          <a:noFill/>
        </a:ln>
      </dgm:spPr>
      <dgm:t>
        <a:bodyPr/>
        <a:p>
          <a:r>
            <a:rPr lang="zh-CN" altLang="en-US" sz="1050" baseline="0">
              <a:solidFill>
                <a:schemeClr val="bg1"/>
              </a:solidFill>
              <a:latin typeface="Times New Roman" panose="02020603050405020304" charset="0"/>
              <a:ea typeface="宋体" panose="02010600030101010101" charset="-122"/>
            </a:rPr>
            <a:t>专业相关度</a:t>
          </a:r>
          <a:r>
            <a:rPr lang="zh-CN" sz="1050">
              <a:solidFill>
                <a:schemeClr val="bg1"/>
              </a:solidFill>
              <a:latin typeface="Times New Roman" panose="02020603050405020304" charset="0"/>
              <a:cs typeface="Times New Roman" panose="02020603050405020304" charset="0"/>
            </a:rPr>
            <a:t>76.95%</a:t>
          </a:r>
          <a:endParaRPr lang="zh-CN" altLang="en-US" sz="1050" baseline="0">
            <a:solidFill>
              <a:schemeClr val="bg1"/>
            </a:solidFill>
            <a:latin typeface="Times New Roman" panose="02020603050405020304" charset="0"/>
            <a:ea typeface="宋体" panose="02010600030101010101" charset="-122"/>
            <a:cs typeface="Times New Roman" panose="02020603050405020304" charset="0"/>
          </a:endParaRPr>
        </a:p>
      </dgm:t>
    </dgm:pt>
    <dgm:pt modelId="{7AF98702-7C2E-4806-AED1-891B7ED8AA3A}" cxnId="{D178E183-5B1E-4431-ADE6-B7B433611396}" type="parTrans">
      <dgm:prSet/>
      <dgm:spPr/>
      <dgm:t>
        <a:bodyPr/>
        <a:p>
          <a:endParaRPr lang="zh-CN" altLang="en-US"/>
        </a:p>
      </dgm:t>
    </dgm:pt>
    <dgm:pt modelId="{E11D38A0-72FD-46FA-A91C-CED7A70EFC55}" cxnId="{D178E183-5B1E-4431-ADE6-B7B433611396}" type="sibTrans">
      <dgm:prSet/>
      <dgm:spPr>
        <a:blipFill>
          <a:blip xmlns:r="http://schemas.openxmlformats.org/officeDocument/2006/relationships" r:embed="rId3">
            <a:extLst>
              <a:ext uri="{28A0092B-C50C-407E-A947-70E740481C1C}">
                <a14:useLocalDpi xmlns:a14="http://schemas.microsoft.com/office/drawing/2010/main" val="0"/>
              </a:ext>
            </a:extLst>
          </a:blip>
          <a:srcRect/>
          <a:stretch>
            <a:fillRect/>
          </a:stretch>
        </a:blipFill>
        <a:ln>
          <a:noFill/>
        </a:ln>
      </dgm:spPr>
      <dgm:t>
        <a:bodyPr/>
        <a:p>
          <a:endParaRPr lang="zh-CN" altLang="en-US"/>
        </a:p>
      </dgm:t>
    </dgm:pt>
    <dgm:pt modelId="{94BCA613-E249-458F-A457-04E056CD47D3}">
      <dgm:prSet phldrT="[文本]" custT="1"/>
      <dgm:spPr>
        <a:solidFill>
          <a:srgbClr val="5DCCCB"/>
        </a:solidFill>
        <a:ln>
          <a:noFill/>
        </a:ln>
      </dgm:spPr>
      <dgm:t>
        <a:bodyPr/>
        <a:p>
          <a:r>
            <a:rPr lang="zh-CN" altLang="en-US" sz="1050" b="0" i="0" baseline="0">
              <a:solidFill>
                <a:schemeClr val="bg1"/>
              </a:solidFill>
              <a:latin typeface="Times New Roman" panose="02020603050405020304" charset="0"/>
              <a:ea typeface="宋体" panose="02010600030101010101" charset="-122"/>
            </a:rPr>
            <a:t>月均收入</a:t>
          </a:r>
          <a:r>
            <a:rPr lang="en-US" sz="1050" baseline="0">
              <a:solidFill>
                <a:schemeClr val="bg1"/>
              </a:solidFill>
              <a:latin typeface="Times New Roman" panose="02020603050405020304" charset="0"/>
              <a:ea typeface="宋体" panose="02010600030101010101" charset="-122"/>
              <a:cs typeface="Times New Roman" panose="02020603050405020304" charset="0"/>
            </a:rPr>
            <a:t>4381.95</a:t>
          </a:r>
          <a:r>
            <a:rPr lang="zh-CN" sz="1050" baseline="0">
              <a:solidFill>
                <a:schemeClr val="bg1"/>
              </a:solidFill>
              <a:latin typeface="Times New Roman" panose="02020603050405020304" charset="0"/>
              <a:ea typeface="宋体" panose="02010600030101010101" charset="-122"/>
            </a:rPr>
            <a:t>元</a:t>
          </a:r>
          <a:endParaRPr lang="zh-CN" altLang="en-US" sz="1050" baseline="0">
            <a:solidFill>
              <a:schemeClr val="bg1"/>
            </a:solidFill>
            <a:latin typeface="Times New Roman" panose="02020603050405020304" charset="0"/>
            <a:ea typeface="宋体" panose="02010600030101010101" charset="-122"/>
          </a:endParaRPr>
        </a:p>
      </dgm:t>
    </dgm:pt>
    <dgm:pt modelId="{4D993A31-4976-49BE-B4B2-7D258E8178D8}" cxnId="{B8B2D5CD-F445-4AAC-9CCC-62A64CBC8C65}" type="parTrans">
      <dgm:prSet/>
      <dgm:spPr/>
      <dgm:t>
        <a:bodyPr/>
        <a:p>
          <a:endParaRPr lang="zh-CN" altLang="en-US"/>
        </a:p>
      </dgm:t>
    </dgm:pt>
    <dgm:pt modelId="{6FA07B1A-29BB-4397-8943-ED9854098F62}" cxnId="{B8B2D5CD-F445-4AAC-9CCC-62A64CBC8C65}" type="sibTrans">
      <dgm:prSet/>
      <dgm:spPr>
        <a:blipFill>
          <a:blip xmlns:r="http://schemas.openxmlformats.org/officeDocument/2006/relationships" r:embed="rId4">
            <a:extLst>
              <a:ext uri="{28A0092B-C50C-407E-A947-70E740481C1C}">
                <a14:useLocalDpi xmlns:a14="http://schemas.microsoft.com/office/drawing/2010/main" val="0"/>
              </a:ext>
            </a:extLst>
          </a:blip>
          <a:srcRect/>
          <a:stretch>
            <a:fillRect t="-7000" b="-7000"/>
          </a:stretch>
        </a:blipFill>
        <a:ln>
          <a:noFill/>
        </a:ln>
      </dgm:spPr>
      <dgm:t>
        <a:bodyPr/>
        <a:p>
          <a:endParaRPr lang="zh-CN" altLang="en-US"/>
        </a:p>
      </dgm:t>
    </dgm:pt>
    <dgm:pt modelId="{9C47C312-FFD8-4949-9A55-41213C5B7448}" type="pres">
      <dgm:prSet presAssocID="{45D81A78-87EE-46DB-A1AB-DB9CA10B2F15}" presName="Name0" presStyleCnt="0">
        <dgm:presLayoutVars>
          <dgm:chMax val="21"/>
          <dgm:chPref val="21"/>
        </dgm:presLayoutVars>
      </dgm:prSet>
      <dgm:spPr/>
    </dgm:pt>
    <dgm:pt modelId="{0E2EED77-0963-47BA-9E1F-57B8CBDBBEF9}" type="pres">
      <dgm:prSet presAssocID="{9601398C-B38B-4A43-AE24-C0310067A41C}" presName="text1" presStyleCnt="0"/>
      <dgm:spPr/>
    </dgm:pt>
    <dgm:pt modelId="{AE23A388-A9B7-4C40-BC1D-3BCFF6FC016F}" type="pres">
      <dgm:prSet presAssocID="{9601398C-B38B-4A43-AE24-C0310067A41C}" presName="textRepeatNode" presStyleLbl="alignNode1" presStyleIdx="0" presStyleCnt="4">
        <dgm:presLayoutVars>
          <dgm:chMax val="0"/>
          <dgm:chPref val="0"/>
          <dgm:bulletEnabled val="1"/>
        </dgm:presLayoutVars>
      </dgm:prSet>
      <dgm:spPr/>
    </dgm:pt>
    <dgm:pt modelId="{DAD18E94-C8C8-46A7-B72A-0A932D84218B}" type="pres">
      <dgm:prSet presAssocID="{9601398C-B38B-4A43-AE24-C0310067A41C}" presName="textaccent1" presStyleCnt="0"/>
      <dgm:spPr/>
    </dgm:pt>
    <dgm:pt modelId="{500F1F34-78DC-44CE-95BD-03384A18539F}" type="pres">
      <dgm:prSet presAssocID="{9601398C-B38B-4A43-AE24-C0310067A41C}" presName="accentRepeatNode" presStyleLbl="solidAlignAcc1" presStyleIdx="0" presStyleCnt="8"/>
      <dgm:spPr/>
    </dgm:pt>
    <dgm:pt modelId="{B3EC34C7-04D2-4D42-81CD-1DEFBAA2C32A}" type="pres">
      <dgm:prSet presAssocID="{24D69D1D-D85C-4BC1-9E05-676343505F04}" presName="image1" presStyleCnt="0"/>
      <dgm:spPr/>
    </dgm:pt>
    <dgm:pt modelId="{CF29F388-2A15-4115-8F55-CC2FBA371711}" type="pres">
      <dgm:prSet presAssocID="{24D69D1D-D85C-4BC1-9E05-676343505F04}" presName="imageRepeatNode" presStyleLbl="alignAcc1" presStyleIdx="0" presStyleCnt="4" custScaleX="108347" custScaleY="105824"/>
      <dgm:spPr/>
    </dgm:pt>
    <dgm:pt modelId="{250310BC-A090-460F-B089-FC92C92E22F9}" type="pres">
      <dgm:prSet presAssocID="{24D69D1D-D85C-4BC1-9E05-676343505F04}" presName="imageaccent1" presStyleCnt="0"/>
      <dgm:spPr/>
    </dgm:pt>
    <dgm:pt modelId="{E7D3D730-66E3-44B7-86B8-0733A5D987BD}" type="pres">
      <dgm:prSet presAssocID="{24D69D1D-D85C-4BC1-9E05-676343505F04}" presName="accentRepeatNode" presStyleLbl="solidAlignAcc1" presStyleIdx="1" presStyleCnt="8"/>
      <dgm:spPr/>
    </dgm:pt>
    <dgm:pt modelId="{958BE5D0-5F0D-4959-A462-C976DBEF66E3}" type="pres">
      <dgm:prSet presAssocID="{82CC3864-E014-428A-A4EE-FF1D579979E7}" presName="text2" presStyleCnt="0"/>
      <dgm:spPr/>
    </dgm:pt>
    <dgm:pt modelId="{EF52D393-5C05-4073-8D0C-B660BEEF9014}" type="pres">
      <dgm:prSet presAssocID="{82CC3864-E014-428A-A4EE-FF1D579979E7}" presName="textRepeatNode" presStyleLbl="alignNode1" presStyleIdx="1" presStyleCnt="4">
        <dgm:presLayoutVars>
          <dgm:chMax val="0"/>
          <dgm:chPref val="0"/>
          <dgm:bulletEnabled val="1"/>
        </dgm:presLayoutVars>
      </dgm:prSet>
      <dgm:spPr/>
    </dgm:pt>
    <dgm:pt modelId="{515D3958-E582-4346-92ED-CBE2FD94C4A4}" type="pres">
      <dgm:prSet presAssocID="{82CC3864-E014-428A-A4EE-FF1D579979E7}" presName="textaccent2" presStyleCnt="0"/>
      <dgm:spPr/>
    </dgm:pt>
    <dgm:pt modelId="{39CE39CF-00B6-4878-A5EB-5134A390F4FC}" type="pres">
      <dgm:prSet presAssocID="{82CC3864-E014-428A-A4EE-FF1D579979E7}" presName="accentRepeatNode" presStyleLbl="solidAlignAcc1" presStyleIdx="2" presStyleCnt="8"/>
      <dgm:spPr/>
    </dgm:pt>
    <dgm:pt modelId="{249FC1A7-9BE5-408E-8505-3D43D24888CE}" type="pres">
      <dgm:prSet presAssocID="{9816642F-7252-4612-A030-725BCA83D4F6}" presName="image2" presStyleCnt="0"/>
      <dgm:spPr/>
    </dgm:pt>
    <dgm:pt modelId="{9D602F5D-60DB-4973-882E-91D2A3351124}" type="pres">
      <dgm:prSet presAssocID="{9816642F-7252-4612-A030-725BCA83D4F6}" presName="imageRepeatNode" presStyleLbl="alignAcc1" presStyleIdx="1" presStyleCnt="4"/>
      <dgm:spPr/>
    </dgm:pt>
    <dgm:pt modelId="{9210D80E-08BE-4B3B-AE3A-07E9E4646AF2}" type="pres">
      <dgm:prSet presAssocID="{9816642F-7252-4612-A030-725BCA83D4F6}" presName="imageaccent2" presStyleCnt="0"/>
      <dgm:spPr/>
    </dgm:pt>
    <dgm:pt modelId="{9AD8C5DC-245E-446D-BF21-BE0930B2ABEA}" type="pres">
      <dgm:prSet presAssocID="{9816642F-7252-4612-A030-725BCA83D4F6}" presName="accentRepeatNode" presStyleLbl="solidAlignAcc1" presStyleIdx="3" presStyleCnt="8"/>
      <dgm:spPr/>
    </dgm:pt>
    <dgm:pt modelId="{42A5C759-9EA7-4943-BD83-DD7215438021}" type="pres">
      <dgm:prSet presAssocID="{94BCA613-E249-458F-A457-04E056CD47D3}" presName="text3" presStyleCnt="0"/>
      <dgm:spPr/>
    </dgm:pt>
    <dgm:pt modelId="{9954D7AE-ADA3-4A1E-A7B0-C4C60E82395C}" type="pres">
      <dgm:prSet presAssocID="{94BCA613-E249-458F-A457-04E056CD47D3}" presName="textRepeatNode" presStyleLbl="alignNode1" presStyleIdx="2" presStyleCnt="4">
        <dgm:presLayoutVars>
          <dgm:chMax val="0"/>
          <dgm:chPref val="0"/>
          <dgm:bulletEnabled val="1"/>
        </dgm:presLayoutVars>
      </dgm:prSet>
      <dgm:spPr/>
    </dgm:pt>
    <dgm:pt modelId="{E5F51732-34E7-4D2F-B57B-697DE3C2AD69}" type="pres">
      <dgm:prSet presAssocID="{94BCA613-E249-458F-A457-04E056CD47D3}" presName="textaccent3" presStyleCnt="0"/>
      <dgm:spPr/>
    </dgm:pt>
    <dgm:pt modelId="{92A1B0F7-0B09-4C18-88F2-04897D1071D0}" type="pres">
      <dgm:prSet presAssocID="{94BCA613-E249-458F-A457-04E056CD47D3}" presName="accentRepeatNode" presStyleLbl="solidAlignAcc1" presStyleIdx="4" presStyleCnt="8"/>
      <dgm:spPr/>
    </dgm:pt>
    <dgm:pt modelId="{2BDEA642-E880-46FF-9699-7605DAA9430D}" type="pres">
      <dgm:prSet presAssocID="{6FA07B1A-29BB-4397-8943-ED9854098F62}" presName="image3" presStyleCnt="0"/>
      <dgm:spPr/>
    </dgm:pt>
    <dgm:pt modelId="{2BA91615-123D-470D-894F-BED3BBC88716}" type="pres">
      <dgm:prSet presAssocID="{6FA07B1A-29BB-4397-8943-ED9854098F62}" presName="imageRepeatNode" presStyleLbl="alignAcc1" presStyleIdx="2" presStyleCnt="4" custScaleX="95606" custScaleY="99790" custLinFactNeighborX="-2747" custLinFactNeighborY="-52"/>
      <dgm:spPr/>
    </dgm:pt>
    <dgm:pt modelId="{2DFF1F3B-3AF4-4242-A509-579D552525D3}" type="pres">
      <dgm:prSet presAssocID="{6FA07B1A-29BB-4397-8943-ED9854098F62}" presName="imageaccent3" presStyleCnt="0"/>
      <dgm:spPr/>
    </dgm:pt>
    <dgm:pt modelId="{29830B00-F0E5-49FA-B3BF-040B7E68379F}" type="pres">
      <dgm:prSet presAssocID="{6FA07B1A-29BB-4397-8943-ED9854098F62}" presName="accentRepeatNode" presStyleLbl="solidAlignAcc1" presStyleIdx="5" presStyleCnt="8"/>
      <dgm:spPr/>
    </dgm:pt>
    <dgm:pt modelId="{930C8C21-BD16-4B4C-947C-7DD3F15217AA}" type="pres">
      <dgm:prSet presAssocID="{2045C0F6-C21B-44B3-A3B0-72560779F0D1}" presName="text4" presStyleCnt="0"/>
      <dgm:spPr/>
    </dgm:pt>
    <dgm:pt modelId="{87DB9513-1FB6-4F16-922A-3C64DECBE67D}" type="pres">
      <dgm:prSet presAssocID="{2045C0F6-C21B-44B3-A3B0-72560779F0D1}" presName="textRepeatNode" presStyleLbl="alignNode1" presStyleIdx="3" presStyleCnt="4">
        <dgm:presLayoutVars>
          <dgm:chMax val="0"/>
          <dgm:chPref val="0"/>
          <dgm:bulletEnabled val="1"/>
        </dgm:presLayoutVars>
      </dgm:prSet>
      <dgm:spPr/>
    </dgm:pt>
    <dgm:pt modelId="{623A0C0B-328C-4A68-BFE3-DCCE00B1ECA0}" type="pres">
      <dgm:prSet presAssocID="{2045C0F6-C21B-44B3-A3B0-72560779F0D1}" presName="textaccent4" presStyleCnt="0"/>
      <dgm:spPr/>
    </dgm:pt>
    <dgm:pt modelId="{05DB2BE4-9A4D-4067-A2BF-8B74C91630BE}" type="pres">
      <dgm:prSet presAssocID="{2045C0F6-C21B-44B3-A3B0-72560779F0D1}" presName="accentRepeatNode" presStyleLbl="solidAlignAcc1" presStyleIdx="6" presStyleCnt="8"/>
      <dgm:spPr/>
    </dgm:pt>
    <dgm:pt modelId="{DBE8EC88-01AD-4DA6-BA87-F2676D730710}" type="pres">
      <dgm:prSet presAssocID="{E11D38A0-72FD-46FA-A91C-CED7A70EFC55}" presName="image4" presStyleCnt="0"/>
      <dgm:spPr/>
    </dgm:pt>
    <dgm:pt modelId="{171EDDA6-E08A-4818-B443-B58DAD40293E}" type="pres">
      <dgm:prSet presAssocID="{E11D38A0-72FD-46FA-A91C-CED7A70EFC55}" presName="imageRepeatNode" presStyleLbl="alignAcc1" presStyleIdx="3" presStyleCnt="4" custScaleX="77379" custScaleY="90291"/>
      <dgm:spPr/>
    </dgm:pt>
    <dgm:pt modelId="{E64D8A15-1B90-4777-AF84-23C19D5FA7E1}" type="pres">
      <dgm:prSet presAssocID="{E11D38A0-72FD-46FA-A91C-CED7A70EFC55}" presName="imageaccent4" presStyleCnt="0"/>
      <dgm:spPr/>
    </dgm:pt>
    <dgm:pt modelId="{F23C7E7A-499E-4F57-AA29-BC8D883E893F}" type="pres">
      <dgm:prSet presAssocID="{E11D38A0-72FD-46FA-A91C-CED7A70EFC55}" presName="accentRepeatNode" presStyleLbl="solidAlignAcc1" presStyleIdx="7" presStyleCnt="8"/>
      <dgm:spPr/>
    </dgm:pt>
  </dgm:ptLst>
  <dgm:cxnLst>
    <dgm:cxn modelId="{25849A0D-D910-4238-83AC-85464EE214C2}" type="presOf" srcId="{2045C0F6-C21B-44B3-A3B0-72560779F0D1}" destId="{87DB9513-1FB6-4F16-922A-3C64DECBE67D}" srcOrd="0" destOrd="0" presId="urn:microsoft.com/office/officeart/2008/layout/HexagonCluster"/>
    <dgm:cxn modelId="{14572518-4339-4555-9EE3-3D5C4B3D26E8}" type="presOf" srcId="{45D81A78-87EE-46DB-A1AB-DB9CA10B2F15}" destId="{9C47C312-FFD8-4949-9A55-41213C5B7448}" srcOrd="0" destOrd="0" presId="urn:microsoft.com/office/officeart/2008/layout/HexagonCluster"/>
    <dgm:cxn modelId="{8C6A7046-8337-4B92-81F5-6F227F28E361}" type="presOf" srcId="{24D69D1D-D85C-4BC1-9E05-676343505F04}" destId="{CF29F388-2A15-4115-8F55-CC2FBA371711}" srcOrd="0" destOrd="0" presId="urn:microsoft.com/office/officeart/2008/layout/HexagonCluster"/>
    <dgm:cxn modelId="{1E77BF6D-8B3F-466D-A11C-1787EA41C2FF}" type="presOf" srcId="{94BCA613-E249-458F-A457-04E056CD47D3}" destId="{9954D7AE-ADA3-4A1E-A7B0-C4C60E82395C}" srcOrd="0" destOrd="0" presId="urn:microsoft.com/office/officeart/2008/layout/HexagonCluster"/>
    <dgm:cxn modelId="{FFFD4A73-64A6-49A1-AC13-3370A13CA69B}" type="presOf" srcId="{E11D38A0-72FD-46FA-A91C-CED7A70EFC55}" destId="{171EDDA6-E08A-4818-B443-B58DAD40293E}" srcOrd="0" destOrd="0" presId="urn:microsoft.com/office/officeart/2008/layout/HexagonCluster"/>
    <dgm:cxn modelId="{D178E183-5B1E-4431-ADE6-B7B433611396}" srcId="{45D81A78-87EE-46DB-A1AB-DB9CA10B2F15}" destId="{2045C0F6-C21B-44B3-A3B0-72560779F0D1}" srcOrd="3" destOrd="0" parTransId="{7AF98702-7C2E-4806-AED1-891B7ED8AA3A}" sibTransId="{E11D38A0-72FD-46FA-A91C-CED7A70EFC55}"/>
    <dgm:cxn modelId="{3DB7F285-C178-434C-AEB0-36EC9964BCCA}" srcId="{45D81A78-87EE-46DB-A1AB-DB9CA10B2F15}" destId="{82CC3864-E014-428A-A4EE-FF1D579979E7}" srcOrd="1" destOrd="0" parTransId="{911F020E-E12B-49F2-896A-62FA3523C129}" sibTransId="{9816642F-7252-4612-A030-725BCA83D4F6}"/>
    <dgm:cxn modelId="{1FEB989C-3C8F-4AEF-A683-070FF872E101}" type="presOf" srcId="{9601398C-B38B-4A43-AE24-C0310067A41C}" destId="{AE23A388-A9B7-4C40-BC1D-3BCFF6FC016F}" srcOrd="0" destOrd="0" presId="urn:microsoft.com/office/officeart/2008/layout/HexagonCluster"/>
    <dgm:cxn modelId="{008275A7-F490-470B-BCED-AD54911EBBC0}" type="presOf" srcId="{6FA07B1A-29BB-4397-8943-ED9854098F62}" destId="{2BA91615-123D-470D-894F-BED3BBC88716}" srcOrd="0" destOrd="0" presId="urn:microsoft.com/office/officeart/2008/layout/HexagonCluster"/>
    <dgm:cxn modelId="{D0F2A9B7-8692-477D-8C43-3D041DF2D139}" type="presOf" srcId="{82CC3864-E014-428A-A4EE-FF1D579979E7}" destId="{EF52D393-5C05-4073-8D0C-B660BEEF9014}" srcOrd="0" destOrd="0" presId="urn:microsoft.com/office/officeart/2008/layout/HexagonCluster"/>
    <dgm:cxn modelId="{B8B2D5CD-F445-4AAC-9CCC-62A64CBC8C65}" srcId="{45D81A78-87EE-46DB-A1AB-DB9CA10B2F15}" destId="{94BCA613-E249-458F-A457-04E056CD47D3}" srcOrd="2" destOrd="0" parTransId="{4D993A31-4976-49BE-B4B2-7D258E8178D8}" sibTransId="{6FA07B1A-29BB-4397-8943-ED9854098F62}"/>
    <dgm:cxn modelId="{431825D9-5AC1-41D9-B309-5BD405E44B5D}" srcId="{45D81A78-87EE-46DB-A1AB-DB9CA10B2F15}" destId="{9601398C-B38B-4A43-AE24-C0310067A41C}" srcOrd="0" destOrd="0" parTransId="{4C5C4CDE-1CF4-4DAD-B0D3-4689A51BCDFA}" sibTransId="{24D69D1D-D85C-4BC1-9E05-676343505F04}"/>
    <dgm:cxn modelId="{55DD35FB-9AD2-41A9-8B31-5261338F0BB1}" type="presOf" srcId="{9816642F-7252-4612-A030-725BCA83D4F6}" destId="{9D602F5D-60DB-4973-882E-91D2A3351124}" srcOrd="0" destOrd="0" presId="urn:microsoft.com/office/officeart/2008/layout/HexagonCluster"/>
    <dgm:cxn modelId="{D12F92B2-234B-4FCB-9E13-7E8B1F77B3BC}" type="presParOf" srcId="{9C47C312-FFD8-4949-9A55-41213C5B7448}" destId="{0E2EED77-0963-47BA-9E1F-57B8CBDBBEF9}" srcOrd="0" destOrd="0" presId="urn:microsoft.com/office/officeart/2008/layout/HexagonCluster"/>
    <dgm:cxn modelId="{DD2C1BA3-2863-4A94-B794-6D8ED0185698}" type="presParOf" srcId="{0E2EED77-0963-47BA-9E1F-57B8CBDBBEF9}" destId="{AE23A388-A9B7-4C40-BC1D-3BCFF6FC016F}" srcOrd="0" destOrd="0" presId="urn:microsoft.com/office/officeart/2008/layout/HexagonCluster"/>
    <dgm:cxn modelId="{E76BC5BA-4D3B-43FA-BAE1-661D61D15883}" type="presParOf" srcId="{9C47C312-FFD8-4949-9A55-41213C5B7448}" destId="{DAD18E94-C8C8-46A7-B72A-0A932D84218B}" srcOrd="1" destOrd="0" presId="urn:microsoft.com/office/officeart/2008/layout/HexagonCluster"/>
    <dgm:cxn modelId="{6A2393FB-EB2C-453C-91D8-1250E6787979}" type="presParOf" srcId="{DAD18E94-C8C8-46A7-B72A-0A932D84218B}" destId="{500F1F34-78DC-44CE-95BD-03384A18539F}" srcOrd="0" destOrd="0" presId="urn:microsoft.com/office/officeart/2008/layout/HexagonCluster"/>
    <dgm:cxn modelId="{CAEF0EE0-AC04-4522-8412-578EBB96A9A1}" type="presParOf" srcId="{9C47C312-FFD8-4949-9A55-41213C5B7448}" destId="{B3EC34C7-04D2-4D42-81CD-1DEFBAA2C32A}" srcOrd="2" destOrd="0" presId="urn:microsoft.com/office/officeart/2008/layout/HexagonCluster"/>
    <dgm:cxn modelId="{22CFEA37-5819-492D-B01B-8FCDC9EED2AD}" type="presParOf" srcId="{B3EC34C7-04D2-4D42-81CD-1DEFBAA2C32A}" destId="{CF29F388-2A15-4115-8F55-CC2FBA371711}" srcOrd="0" destOrd="0" presId="urn:microsoft.com/office/officeart/2008/layout/HexagonCluster"/>
    <dgm:cxn modelId="{C355299F-6F19-42DA-AC2E-FB5A348E893C}" type="presParOf" srcId="{9C47C312-FFD8-4949-9A55-41213C5B7448}" destId="{250310BC-A090-460F-B089-FC92C92E22F9}" srcOrd="3" destOrd="0" presId="urn:microsoft.com/office/officeart/2008/layout/HexagonCluster"/>
    <dgm:cxn modelId="{84F9EAFB-9ECE-44BA-AFD6-3044B39B855D}" type="presParOf" srcId="{250310BC-A090-460F-B089-FC92C92E22F9}" destId="{E7D3D730-66E3-44B7-86B8-0733A5D987BD}" srcOrd="0" destOrd="0" presId="urn:microsoft.com/office/officeart/2008/layout/HexagonCluster"/>
    <dgm:cxn modelId="{D7B4D97D-B69B-4467-BA43-1B210F141D54}" type="presParOf" srcId="{9C47C312-FFD8-4949-9A55-41213C5B7448}" destId="{958BE5D0-5F0D-4959-A462-C976DBEF66E3}" srcOrd="4" destOrd="0" presId="urn:microsoft.com/office/officeart/2008/layout/HexagonCluster"/>
    <dgm:cxn modelId="{CCBE7B64-5C6F-4C3F-BABC-65D6748EA878}" type="presParOf" srcId="{958BE5D0-5F0D-4959-A462-C976DBEF66E3}" destId="{EF52D393-5C05-4073-8D0C-B660BEEF9014}" srcOrd="0" destOrd="0" presId="urn:microsoft.com/office/officeart/2008/layout/HexagonCluster"/>
    <dgm:cxn modelId="{70B4E028-E533-429C-88A0-6ACCABADC16A}" type="presParOf" srcId="{9C47C312-FFD8-4949-9A55-41213C5B7448}" destId="{515D3958-E582-4346-92ED-CBE2FD94C4A4}" srcOrd="5" destOrd="0" presId="urn:microsoft.com/office/officeart/2008/layout/HexagonCluster"/>
    <dgm:cxn modelId="{004C4C01-17D3-4F05-B15A-06DE31C20BA7}" type="presParOf" srcId="{515D3958-E582-4346-92ED-CBE2FD94C4A4}" destId="{39CE39CF-00B6-4878-A5EB-5134A390F4FC}" srcOrd="0" destOrd="0" presId="urn:microsoft.com/office/officeart/2008/layout/HexagonCluster"/>
    <dgm:cxn modelId="{29D6B669-DFBD-45EF-90C1-3A9229466083}" type="presParOf" srcId="{9C47C312-FFD8-4949-9A55-41213C5B7448}" destId="{249FC1A7-9BE5-408E-8505-3D43D24888CE}" srcOrd="6" destOrd="0" presId="urn:microsoft.com/office/officeart/2008/layout/HexagonCluster"/>
    <dgm:cxn modelId="{8D214E16-C3BC-4FEF-BDBB-5C3615A6A247}" type="presParOf" srcId="{249FC1A7-9BE5-408E-8505-3D43D24888CE}" destId="{9D602F5D-60DB-4973-882E-91D2A3351124}" srcOrd="0" destOrd="0" presId="urn:microsoft.com/office/officeart/2008/layout/HexagonCluster"/>
    <dgm:cxn modelId="{D76D7C93-9F02-4679-8219-891D4EB1E072}" type="presParOf" srcId="{9C47C312-FFD8-4949-9A55-41213C5B7448}" destId="{9210D80E-08BE-4B3B-AE3A-07E9E4646AF2}" srcOrd="7" destOrd="0" presId="urn:microsoft.com/office/officeart/2008/layout/HexagonCluster"/>
    <dgm:cxn modelId="{DEFCBD21-6966-4E6E-A223-D3218DBDDE55}" type="presParOf" srcId="{9210D80E-08BE-4B3B-AE3A-07E9E4646AF2}" destId="{9AD8C5DC-245E-446D-BF21-BE0930B2ABEA}" srcOrd="0" destOrd="0" presId="urn:microsoft.com/office/officeart/2008/layout/HexagonCluster"/>
    <dgm:cxn modelId="{EF95E997-5EDB-438A-A169-C02BB8CB8176}" type="presParOf" srcId="{9C47C312-FFD8-4949-9A55-41213C5B7448}" destId="{42A5C759-9EA7-4943-BD83-DD7215438021}" srcOrd="8" destOrd="0" presId="urn:microsoft.com/office/officeart/2008/layout/HexagonCluster"/>
    <dgm:cxn modelId="{17ABCE31-1FCB-4B73-A6C2-37BC7DABE2A3}" type="presParOf" srcId="{42A5C759-9EA7-4943-BD83-DD7215438021}" destId="{9954D7AE-ADA3-4A1E-A7B0-C4C60E82395C}" srcOrd="0" destOrd="0" presId="urn:microsoft.com/office/officeart/2008/layout/HexagonCluster"/>
    <dgm:cxn modelId="{DD9254FD-1545-4334-937A-AF175B5CE6B5}" type="presParOf" srcId="{9C47C312-FFD8-4949-9A55-41213C5B7448}" destId="{E5F51732-34E7-4D2F-B57B-697DE3C2AD69}" srcOrd="9" destOrd="0" presId="urn:microsoft.com/office/officeart/2008/layout/HexagonCluster"/>
    <dgm:cxn modelId="{441C4F64-4F53-4AFD-9ED4-7A491445A536}" type="presParOf" srcId="{E5F51732-34E7-4D2F-B57B-697DE3C2AD69}" destId="{92A1B0F7-0B09-4C18-88F2-04897D1071D0}" srcOrd="0" destOrd="0" presId="urn:microsoft.com/office/officeart/2008/layout/HexagonCluster"/>
    <dgm:cxn modelId="{09A4C161-AB72-4A77-B024-2DAB39CB4730}" type="presParOf" srcId="{9C47C312-FFD8-4949-9A55-41213C5B7448}" destId="{2BDEA642-E880-46FF-9699-7605DAA9430D}" srcOrd="10" destOrd="0" presId="urn:microsoft.com/office/officeart/2008/layout/HexagonCluster"/>
    <dgm:cxn modelId="{037DEE70-FFEB-4899-A22A-05EFBED4503B}" type="presParOf" srcId="{2BDEA642-E880-46FF-9699-7605DAA9430D}" destId="{2BA91615-123D-470D-894F-BED3BBC88716}" srcOrd="0" destOrd="0" presId="urn:microsoft.com/office/officeart/2008/layout/HexagonCluster"/>
    <dgm:cxn modelId="{3A31537E-DE55-48CC-8844-E00DAC9B69B4}" type="presParOf" srcId="{9C47C312-FFD8-4949-9A55-41213C5B7448}" destId="{2DFF1F3B-3AF4-4242-A509-579D552525D3}" srcOrd="11" destOrd="0" presId="urn:microsoft.com/office/officeart/2008/layout/HexagonCluster"/>
    <dgm:cxn modelId="{21DF4A78-0B6C-4558-8D65-57A3DE6618A5}" type="presParOf" srcId="{2DFF1F3B-3AF4-4242-A509-579D552525D3}" destId="{29830B00-F0E5-49FA-B3BF-040B7E68379F}" srcOrd="0" destOrd="0" presId="urn:microsoft.com/office/officeart/2008/layout/HexagonCluster"/>
    <dgm:cxn modelId="{1E9D1AC1-683C-497F-A8D0-F1320BEAC81B}" type="presParOf" srcId="{9C47C312-FFD8-4949-9A55-41213C5B7448}" destId="{930C8C21-BD16-4B4C-947C-7DD3F15217AA}" srcOrd="12" destOrd="0" presId="urn:microsoft.com/office/officeart/2008/layout/HexagonCluster"/>
    <dgm:cxn modelId="{BB19D55A-BB30-4E67-A43A-DEF731620CB5}" type="presParOf" srcId="{930C8C21-BD16-4B4C-947C-7DD3F15217AA}" destId="{87DB9513-1FB6-4F16-922A-3C64DECBE67D}" srcOrd="0" destOrd="0" presId="urn:microsoft.com/office/officeart/2008/layout/HexagonCluster"/>
    <dgm:cxn modelId="{7156D786-262A-48BA-A66E-F3D95F75C6C6}" type="presParOf" srcId="{9C47C312-FFD8-4949-9A55-41213C5B7448}" destId="{623A0C0B-328C-4A68-BFE3-DCCE00B1ECA0}" srcOrd="13" destOrd="0" presId="urn:microsoft.com/office/officeart/2008/layout/HexagonCluster"/>
    <dgm:cxn modelId="{FFDE2FBD-6CA4-4E73-B679-E468B2A7F9EE}" type="presParOf" srcId="{623A0C0B-328C-4A68-BFE3-DCCE00B1ECA0}" destId="{05DB2BE4-9A4D-4067-A2BF-8B74C91630BE}" srcOrd="0" destOrd="0" presId="urn:microsoft.com/office/officeart/2008/layout/HexagonCluster"/>
    <dgm:cxn modelId="{BCE80FB7-1F3E-4393-83D7-BE67AC1E5287}" type="presParOf" srcId="{9C47C312-FFD8-4949-9A55-41213C5B7448}" destId="{DBE8EC88-01AD-4DA6-BA87-F2676D730710}" srcOrd="14" destOrd="0" presId="urn:microsoft.com/office/officeart/2008/layout/HexagonCluster"/>
    <dgm:cxn modelId="{DF73B255-5860-4135-8317-E722539D9A17}" type="presParOf" srcId="{DBE8EC88-01AD-4DA6-BA87-F2676D730710}" destId="{171EDDA6-E08A-4818-B443-B58DAD40293E}" srcOrd="0" destOrd="0" presId="urn:microsoft.com/office/officeart/2008/layout/HexagonCluster"/>
    <dgm:cxn modelId="{DCC02B1B-946F-4413-A1C4-74451B66E2B7}" type="presParOf" srcId="{9C47C312-FFD8-4949-9A55-41213C5B7448}" destId="{E64D8A15-1B90-4777-AF84-23C19D5FA7E1}" srcOrd="15" destOrd="0" presId="urn:microsoft.com/office/officeart/2008/layout/HexagonCluster"/>
    <dgm:cxn modelId="{C50421B7-A3C5-4909-B1A4-B4B9DD86B4CE}" type="presParOf" srcId="{E64D8A15-1B90-4777-AF84-23C19D5FA7E1}" destId="{F23C7E7A-499E-4F57-AA29-BC8D883E893F}" srcOrd="0" destOrd="0" presId="urn:microsoft.com/office/officeart/2008/layout/HexagonCluster"/>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F438E3-FD59-40B7-A387-C398D0492857}">
      <dsp:nvSpPr>
        <dsp:cNvPr id="0" name=""/>
        <dsp:cNvSpPr/>
      </dsp:nvSpPr>
      <dsp:spPr>
        <a:xfrm>
          <a:off x="1134955" y="348943"/>
          <a:ext cx="2330664" cy="2330664"/>
        </a:xfrm>
        <a:prstGeom prst="blockArc">
          <a:avLst>
            <a:gd name="adj1" fmla="val 11880000"/>
            <a:gd name="adj2" fmla="val 16200000"/>
            <a:gd name="adj3" fmla="val 4644"/>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D529B6D9-8AEC-43C4-810D-4A378C78679A}">
      <dsp:nvSpPr>
        <dsp:cNvPr id="0" name=""/>
        <dsp:cNvSpPr/>
      </dsp:nvSpPr>
      <dsp:spPr>
        <a:xfrm>
          <a:off x="1134955" y="348943"/>
          <a:ext cx="2330664" cy="2330664"/>
        </a:xfrm>
        <a:prstGeom prst="blockArc">
          <a:avLst>
            <a:gd name="adj1" fmla="val 7560000"/>
            <a:gd name="adj2" fmla="val 11880000"/>
            <a:gd name="adj3" fmla="val 4644"/>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C40214B6-BEF1-4EFE-9CC3-14A05126CC1F}">
      <dsp:nvSpPr>
        <dsp:cNvPr id="0" name=""/>
        <dsp:cNvSpPr/>
      </dsp:nvSpPr>
      <dsp:spPr>
        <a:xfrm>
          <a:off x="1134955" y="348943"/>
          <a:ext cx="2330664" cy="2330664"/>
        </a:xfrm>
        <a:prstGeom prst="blockArc">
          <a:avLst>
            <a:gd name="adj1" fmla="val 3240000"/>
            <a:gd name="adj2" fmla="val 7560000"/>
            <a:gd name="adj3" fmla="val 4644"/>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96EE10E0-7458-450C-8E87-6D4A381CE823}">
      <dsp:nvSpPr>
        <dsp:cNvPr id="0" name=""/>
        <dsp:cNvSpPr/>
      </dsp:nvSpPr>
      <dsp:spPr>
        <a:xfrm>
          <a:off x="1134955" y="348943"/>
          <a:ext cx="2330664" cy="2330664"/>
        </a:xfrm>
        <a:prstGeom prst="blockArc">
          <a:avLst>
            <a:gd name="adj1" fmla="val 20520000"/>
            <a:gd name="adj2" fmla="val 3240000"/>
            <a:gd name="adj3" fmla="val 4644"/>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FBF03D36-1069-44AD-B8A3-D0B3A9CA970A}">
      <dsp:nvSpPr>
        <dsp:cNvPr id="0" name=""/>
        <dsp:cNvSpPr/>
      </dsp:nvSpPr>
      <dsp:spPr>
        <a:xfrm>
          <a:off x="1134955" y="348943"/>
          <a:ext cx="2330664" cy="2330664"/>
        </a:xfrm>
        <a:prstGeom prst="blockArc">
          <a:avLst>
            <a:gd name="adj1" fmla="val 16200000"/>
            <a:gd name="adj2" fmla="val 20520000"/>
            <a:gd name="adj3" fmla="val 4644"/>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57228AE0-43E6-4EDB-B00E-0A69E45D99C7}">
      <dsp:nvSpPr>
        <dsp:cNvPr id="0" name=""/>
        <dsp:cNvSpPr/>
      </dsp:nvSpPr>
      <dsp:spPr>
        <a:xfrm>
          <a:off x="1639990" y="847284"/>
          <a:ext cx="1320593" cy="1333983"/>
        </a:xfrm>
        <a:prstGeom prst="ellipse">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zh-CN" altLang="en-US" sz="1050" kern="1200" baseline="0">
              <a:latin typeface="Times New Roman" panose="02020603050405020304" pitchFamily="18" charset="0"/>
              <a:ea typeface="宋体" panose="02010600030101010101" pitchFamily="2" charset="-122"/>
            </a:rPr>
            <a:t>就业率</a:t>
          </a:r>
          <a:r>
            <a:rPr lang="en-US" altLang="zh-CN" sz="1050" kern="1200" baseline="0">
              <a:latin typeface="Times New Roman" panose="02020603050405020304" pitchFamily="18" charset="0"/>
              <a:ea typeface="宋体" panose="02010600030101010101" pitchFamily="2" charset="-122"/>
            </a:rPr>
            <a:t>96.42%</a:t>
          </a:r>
          <a:endParaRPr lang="zh-CN" altLang="en-US" sz="1050" kern="1200" baseline="0">
            <a:latin typeface="Times New Roman" panose="02020603050405020304" pitchFamily="18" charset="0"/>
            <a:ea typeface="宋体" panose="02010600030101010101" pitchFamily="2" charset="-122"/>
          </a:endParaRPr>
        </a:p>
      </dsp:txBody>
      <dsp:txXfrm>
        <a:off x="1833386" y="1042641"/>
        <a:ext cx="933801" cy="943269"/>
      </dsp:txXfrm>
    </dsp:sp>
    <dsp:sp modelId="{1114DC63-9BA4-413E-8F51-694814FAA0E5}">
      <dsp:nvSpPr>
        <dsp:cNvPr id="0" name=""/>
        <dsp:cNvSpPr/>
      </dsp:nvSpPr>
      <dsp:spPr>
        <a:xfrm>
          <a:off x="1924469" y="183"/>
          <a:ext cx="751636" cy="751636"/>
        </a:xfrm>
        <a:prstGeom prst="ellipse">
          <a:avLst/>
        </a:prstGeom>
        <a:solidFill>
          <a:srgbClr val="4E8BB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100000"/>
            </a:lnSpc>
            <a:spcBef>
              <a:spcPct val="0"/>
            </a:spcBef>
            <a:spcAft>
              <a:spcPts val="0"/>
            </a:spcAft>
            <a:buNone/>
          </a:pPr>
          <a:r>
            <a:rPr lang="zh-CN" altLang="en-US" sz="1000" kern="1200" baseline="0">
              <a:latin typeface="Times New Roman" panose="02020603050405020304" pitchFamily="18" charset="0"/>
              <a:ea typeface="宋体" panose="02010600030101010101" pitchFamily="2" charset="-122"/>
            </a:rPr>
            <a:t>单位</a:t>
          </a:r>
          <a:endParaRPr lang="en-US" altLang="zh-CN" sz="1000" kern="1200" baseline="0">
            <a:latin typeface="Times New Roman" panose="02020603050405020304" pitchFamily="18" charset="0"/>
            <a:ea typeface="宋体" panose="02010600030101010101" pitchFamily="2" charset="-122"/>
          </a:endParaRPr>
        </a:p>
        <a:p>
          <a:pPr marL="0" lvl="0" indent="0" algn="ctr" defTabSz="444500">
            <a:lnSpc>
              <a:spcPct val="100000"/>
            </a:lnSpc>
            <a:spcBef>
              <a:spcPct val="0"/>
            </a:spcBef>
            <a:spcAft>
              <a:spcPts val="0"/>
            </a:spcAft>
            <a:buNone/>
          </a:pPr>
          <a:r>
            <a:rPr lang="zh-CN" altLang="en-US" sz="1000" kern="1200" baseline="0">
              <a:latin typeface="宋体" panose="02010600030101010101" pitchFamily="2" charset="-122"/>
              <a:ea typeface="宋体" panose="02010600030101010101" pitchFamily="2" charset="-122"/>
            </a:rPr>
            <a:t>就业</a:t>
          </a:r>
          <a:r>
            <a:rPr lang="en-US" altLang="zh-CN" sz="1000" kern="1200" baseline="0">
              <a:latin typeface="宋体" panose="02010600030101010101" pitchFamily="2" charset="-122"/>
              <a:ea typeface="宋体" panose="02010600030101010101" pitchFamily="2" charset="-122"/>
            </a:rPr>
            <a:t>84.17</a:t>
          </a:r>
          <a:r>
            <a:rPr lang="en-US" altLang="zh-CN" sz="1000" b="0" i="0" u="none" kern="1200">
              <a:latin typeface="微软雅黑" panose="020B0503020204020204" pitchFamily="2" charset="-122"/>
              <a:ea typeface="微软雅黑" panose="020B0503020204020204" pitchFamily="2" charset="-122"/>
            </a:rPr>
            <a:t>%</a:t>
          </a:r>
          <a:endParaRPr lang="zh-CN" altLang="en-US" sz="1000" kern="1200">
            <a:latin typeface="微软雅黑" panose="020B0503020204020204" pitchFamily="2" charset="-122"/>
            <a:ea typeface="微软雅黑" panose="020B0503020204020204" pitchFamily="2" charset="-122"/>
          </a:endParaRPr>
        </a:p>
      </dsp:txBody>
      <dsp:txXfrm>
        <a:off x="2034544" y="110258"/>
        <a:ext cx="531486" cy="531486"/>
      </dsp:txXfrm>
    </dsp:sp>
    <dsp:sp modelId="{9177BE18-6DF9-44C0-B87E-72539638F9A3}">
      <dsp:nvSpPr>
        <dsp:cNvPr id="0" name=""/>
        <dsp:cNvSpPr/>
      </dsp:nvSpPr>
      <dsp:spPr>
        <a:xfrm>
          <a:off x="3007031" y="786711"/>
          <a:ext cx="751636" cy="751636"/>
        </a:xfrm>
        <a:prstGeom prst="ellipse">
          <a:avLst/>
        </a:prstGeom>
        <a:solidFill>
          <a:srgbClr val="EF804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zh-CN" sz="1000" kern="1200" baseline="0">
              <a:latin typeface="Times New Roman" panose="02020603050405020304" pitchFamily="18" charset="0"/>
              <a:ea typeface="宋体" panose="02010600030101010101" pitchFamily="2" charset="-122"/>
            </a:rPr>
            <a:t>升学</a:t>
          </a:r>
          <a:r>
            <a:rPr lang="en-US" altLang="zh-CN" sz="1000" kern="1200" baseline="0">
              <a:latin typeface="Times New Roman" panose="02020603050405020304" pitchFamily="18" charset="0"/>
              <a:ea typeface="宋体" panose="02010600030101010101" pitchFamily="2" charset="-122"/>
            </a:rPr>
            <a:t>11.70</a:t>
          </a:r>
          <a:r>
            <a:rPr lang="en-US" sz="1000" kern="1200" baseline="0">
              <a:latin typeface="Times New Roman" panose="02020603050405020304" pitchFamily="18" charset="0"/>
              <a:ea typeface="宋体" panose="02010600030101010101" pitchFamily="2" charset="-122"/>
            </a:rPr>
            <a:t>%</a:t>
          </a:r>
          <a:endParaRPr lang="zh-CN" altLang="en-US" sz="1000" kern="1200" baseline="0">
            <a:latin typeface="Times New Roman" panose="02020603050405020304" pitchFamily="18" charset="0"/>
            <a:ea typeface="宋体" panose="02010600030101010101" pitchFamily="2" charset="-122"/>
          </a:endParaRPr>
        </a:p>
      </dsp:txBody>
      <dsp:txXfrm>
        <a:off x="3117106" y="896786"/>
        <a:ext cx="531486" cy="531486"/>
      </dsp:txXfrm>
    </dsp:sp>
    <dsp:sp modelId="{9B7FB02C-872C-42C5-81B3-D631E069B7E0}">
      <dsp:nvSpPr>
        <dsp:cNvPr id="0" name=""/>
        <dsp:cNvSpPr/>
      </dsp:nvSpPr>
      <dsp:spPr>
        <a:xfrm>
          <a:off x="2593529" y="2059340"/>
          <a:ext cx="751636" cy="751636"/>
        </a:xfrm>
        <a:prstGeom prst="ellipse">
          <a:avLst/>
        </a:prstGeom>
        <a:solidFill>
          <a:srgbClr val="FEC74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100000"/>
            </a:lnSpc>
            <a:spcBef>
              <a:spcPct val="0"/>
            </a:spcBef>
            <a:spcAft>
              <a:spcPts val="0"/>
            </a:spcAft>
            <a:buNone/>
          </a:pPr>
          <a:r>
            <a:rPr lang="zh-CN" altLang="en-US" sz="1000" b="0" i="0" u="none" kern="1200">
              <a:latin typeface="宋体" panose="02010600030101010101" pitchFamily="2" charset="-122"/>
              <a:ea typeface="宋体" panose="02010600030101010101" pitchFamily="2" charset="-122"/>
            </a:rPr>
            <a:t>灵活</a:t>
          </a:r>
          <a:endParaRPr lang="en-US" altLang="zh-CN" sz="1000" b="0" i="0" u="none" kern="1200">
            <a:latin typeface="宋体" panose="02010600030101010101" pitchFamily="2" charset="-122"/>
            <a:ea typeface="宋体" panose="02010600030101010101" pitchFamily="2" charset="-122"/>
          </a:endParaRPr>
        </a:p>
        <a:p>
          <a:pPr marL="0" lvl="0" indent="0" algn="ctr" defTabSz="444500">
            <a:lnSpc>
              <a:spcPct val="100000"/>
            </a:lnSpc>
            <a:spcBef>
              <a:spcPct val="0"/>
            </a:spcBef>
            <a:spcAft>
              <a:spcPts val="0"/>
            </a:spcAft>
            <a:buNone/>
          </a:pPr>
          <a:r>
            <a:rPr lang="zh-CN" altLang="en-US" sz="1000" b="0" i="0" u="none" kern="1200">
              <a:latin typeface="宋体" panose="02010600030101010101" pitchFamily="2" charset="-122"/>
              <a:ea typeface="宋体" panose="02010600030101010101" pitchFamily="2" charset="-122"/>
            </a:rPr>
            <a:t>就业</a:t>
          </a:r>
          <a:endParaRPr lang="en-US" altLang="zh-CN" sz="1000" b="0" i="0" u="none" kern="1200" baseline="0">
            <a:latin typeface="宋体" panose="02010600030101010101" pitchFamily="2" charset="-122"/>
            <a:ea typeface="宋体" panose="02010600030101010101" pitchFamily="2" charset="-122"/>
          </a:endParaRPr>
        </a:p>
        <a:p>
          <a:pPr marL="0" lvl="0" indent="0" algn="ctr" defTabSz="444500">
            <a:lnSpc>
              <a:spcPct val="100000"/>
            </a:lnSpc>
            <a:spcBef>
              <a:spcPct val="0"/>
            </a:spcBef>
            <a:spcAft>
              <a:spcPts val="0"/>
            </a:spcAft>
            <a:buNone/>
          </a:pPr>
          <a:r>
            <a:rPr lang="en-US" altLang="zh-CN" sz="1000" b="0" i="0" u="none" kern="1200" baseline="0">
              <a:latin typeface="Times New Roman" panose="02020603050405020304" pitchFamily="18" charset="0"/>
              <a:ea typeface="宋体" panose="02010600030101010101" pitchFamily="2" charset="-122"/>
            </a:rPr>
            <a:t>0.33</a:t>
          </a:r>
          <a:r>
            <a:rPr lang="en-US" altLang="zh-CN" sz="1000" b="0" i="0" u="none" kern="1200">
              <a:latin typeface="微软雅黑" panose="020B0503020204020204" pitchFamily="2" charset="-122"/>
              <a:ea typeface="微软雅黑" panose="020B0503020204020204" pitchFamily="2" charset="-122"/>
            </a:rPr>
            <a:t>%</a:t>
          </a:r>
          <a:endParaRPr lang="zh-CN" altLang="en-US" sz="1000" kern="1200">
            <a:latin typeface="微软雅黑" panose="020B0503020204020204" pitchFamily="2" charset="-122"/>
            <a:ea typeface="微软雅黑" panose="020B0503020204020204" pitchFamily="2" charset="-122"/>
          </a:endParaRPr>
        </a:p>
      </dsp:txBody>
      <dsp:txXfrm>
        <a:off x="2703604" y="2169415"/>
        <a:ext cx="531486" cy="531486"/>
      </dsp:txXfrm>
    </dsp:sp>
    <dsp:sp modelId="{7924A0F9-4290-4E23-9022-DC82ECEA6835}">
      <dsp:nvSpPr>
        <dsp:cNvPr id="0" name=""/>
        <dsp:cNvSpPr/>
      </dsp:nvSpPr>
      <dsp:spPr>
        <a:xfrm>
          <a:off x="1255408" y="2059340"/>
          <a:ext cx="751636" cy="751636"/>
        </a:xfrm>
        <a:prstGeom prst="ellipse">
          <a:avLst/>
        </a:prstGeom>
        <a:solidFill>
          <a:srgbClr val="5DCCC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100000"/>
            </a:lnSpc>
            <a:spcBef>
              <a:spcPct val="0"/>
            </a:spcBef>
            <a:spcAft>
              <a:spcPts val="0"/>
            </a:spcAft>
            <a:buNone/>
          </a:pPr>
          <a:r>
            <a:rPr lang="zh-CN" sz="1000" kern="1200" baseline="0">
              <a:latin typeface="宋体" panose="02010600030101010101" pitchFamily="2" charset="-122"/>
              <a:ea typeface="宋体" panose="02010600030101010101" pitchFamily="2" charset="-122"/>
            </a:rPr>
            <a:t>出国</a:t>
          </a:r>
          <a:r>
            <a:rPr lang="en-US" altLang="zh-CN" sz="1050" kern="1200">
              <a:latin typeface="宋体" panose="02010600030101010101" pitchFamily="2" charset="-122"/>
              <a:ea typeface="宋体" panose="02010600030101010101" pitchFamily="2" charset="-122"/>
            </a:rPr>
            <a:t>(</a:t>
          </a:r>
          <a:r>
            <a:rPr lang="zh-CN" sz="1050" kern="1200">
              <a:latin typeface="宋体" panose="02010600030101010101" pitchFamily="2" charset="-122"/>
              <a:ea typeface="宋体" panose="02010600030101010101" pitchFamily="2" charset="-122"/>
            </a:rPr>
            <a:t>境</a:t>
          </a:r>
          <a:r>
            <a:rPr lang="en-US" altLang="zh-CN" sz="1050" kern="1200">
              <a:latin typeface="宋体" panose="02010600030101010101" pitchFamily="2" charset="-122"/>
              <a:ea typeface="宋体" panose="02010600030101010101" pitchFamily="2" charset="-122"/>
            </a:rPr>
            <a:t>)</a:t>
          </a:r>
        </a:p>
        <a:p>
          <a:pPr marL="0" lvl="0" indent="0" algn="ctr" defTabSz="444500">
            <a:lnSpc>
              <a:spcPct val="100000"/>
            </a:lnSpc>
            <a:spcBef>
              <a:spcPct val="0"/>
            </a:spcBef>
            <a:spcAft>
              <a:spcPts val="0"/>
            </a:spcAft>
            <a:buNone/>
          </a:pPr>
          <a:r>
            <a:rPr lang="en-US" sz="1050" kern="1200">
              <a:latin typeface="Times New Roman" panose="02020603050405020304" pitchFamily="18" charset="0"/>
              <a:ea typeface="微软雅黑" panose="020B0503020204020204" pitchFamily="2" charset="-122"/>
              <a:cs typeface="Times New Roman" panose="02020603050405020304" pitchFamily="18" charset="0"/>
            </a:rPr>
            <a:t>0.22%</a:t>
          </a:r>
          <a:endParaRPr lang="zh-CN" altLang="en-US" sz="1050" kern="1200">
            <a:latin typeface="Times New Roman" panose="02020603050405020304" pitchFamily="18" charset="0"/>
            <a:ea typeface="微软雅黑" panose="020B0503020204020204" pitchFamily="2" charset="-122"/>
            <a:cs typeface="Times New Roman" panose="02020603050405020304" pitchFamily="18" charset="0"/>
          </a:endParaRPr>
        </a:p>
      </dsp:txBody>
      <dsp:txXfrm>
        <a:off x="1365483" y="2169415"/>
        <a:ext cx="531486" cy="531486"/>
      </dsp:txXfrm>
    </dsp:sp>
    <dsp:sp modelId="{5FE11913-D2B9-42DE-9239-DB21DC9A5686}">
      <dsp:nvSpPr>
        <dsp:cNvPr id="0" name=""/>
        <dsp:cNvSpPr/>
      </dsp:nvSpPr>
      <dsp:spPr>
        <a:xfrm>
          <a:off x="841906" y="786711"/>
          <a:ext cx="751636" cy="751636"/>
        </a:xfrm>
        <a:prstGeom prst="ellipse">
          <a:avLst/>
        </a:prstGeom>
        <a:solidFill>
          <a:srgbClr val="4EB38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zh-CN" altLang="en-US" sz="1050" kern="1200" baseline="0">
              <a:latin typeface="Times New Roman" panose="02020603050405020304" pitchFamily="18" charset="0"/>
              <a:ea typeface="宋体" panose="02010600030101010101" pitchFamily="2" charset="-122"/>
            </a:rPr>
            <a:t>未就业</a:t>
          </a:r>
          <a:r>
            <a:rPr lang="en-US" sz="1000" kern="1200" baseline="0">
              <a:latin typeface="Times New Roman" panose="02020603050405020304" pitchFamily="18" charset="0"/>
              <a:ea typeface="宋体" panose="02010600030101010101" pitchFamily="2" charset="-122"/>
            </a:rPr>
            <a:t>3.59</a:t>
          </a:r>
          <a:r>
            <a:rPr lang="en-US" altLang="zh-CN" sz="1050" kern="1200" baseline="0">
              <a:latin typeface="Times New Roman" panose="02020603050405020304" pitchFamily="18" charset="0"/>
              <a:ea typeface="宋体" panose="02010600030101010101" pitchFamily="2" charset="-122"/>
            </a:rPr>
            <a:t>%</a:t>
          </a:r>
          <a:endParaRPr lang="zh-CN" altLang="en-US" sz="1050" kern="1200" baseline="0">
            <a:latin typeface="Times New Roman" panose="02020603050405020304" pitchFamily="18" charset="0"/>
            <a:ea typeface="宋体" panose="02010600030101010101" pitchFamily="2" charset="-122"/>
          </a:endParaRPr>
        </a:p>
      </dsp:txBody>
      <dsp:txXfrm>
        <a:off x="951981" y="896786"/>
        <a:ext cx="531486" cy="5314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23A388-A9B7-4C40-BC1D-3BCFF6FC016F}">
      <dsp:nvSpPr>
        <dsp:cNvPr id="0" name=""/>
        <dsp:cNvSpPr/>
      </dsp:nvSpPr>
      <dsp:spPr>
        <a:xfrm>
          <a:off x="1143634" y="1968037"/>
          <a:ext cx="1234601" cy="1059763"/>
        </a:xfrm>
        <a:prstGeom prst="hexagon">
          <a:avLst>
            <a:gd name="adj" fmla="val 25000"/>
            <a:gd name="vf" fmla="val 115470"/>
          </a:avLst>
        </a:prstGeom>
        <a:solidFill>
          <a:srgbClr val="00A49D"/>
        </a:solidFill>
        <a:ln w="6350" cap="flat" cmpd="sng" algn="ctr">
          <a:no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0" tIns="13970" rIns="0" bIns="13970" numCol="1" spcCol="1270" anchor="ctr" anchorCtr="0">
          <a:noAutofit/>
        </a:bodyPr>
        <a:lstStyle/>
        <a:p>
          <a:pPr marL="0" lvl="0" indent="0" algn="ctr" defTabSz="466725">
            <a:lnSpc>
              <a:spcPct val="90000"/>
            </a:lnSpc>
            <a:spcBef>
              <a:spcPct val="0"/>
            </a:spcBef>
            <a:spcAft>
              <a:spcPct val="35000"/>
            </a:spcAft>
            <a:buNone/>
          </a:pPr>
          <a:r>
            <a:rPr lang="zh-CN" altLang="en-US" sz="1050" kern="1200" baseline="0">
              <a:solidFill>
                <a:schemeClr val="bg1"/>
              </a:solidFill>
              <a:latin typeface="Times New Roman" panose="02020603050405020304" charset="0"/>
              <a:ea typeface="宋体" panose="02010600030101010101" charset="-122"/>
            </a:rPr>
            <a:t>工作满意度</a:t>
          </a:r>
          <a:r>
            <a:rPr lang="en-US" sz="1050" kern="1200" baseline="0">
              <a:solidFill>
                <a:schemeClr val="bg1"/>
              </a:solidFill>
              <a:latin typeface="Times New Roman" panose="02020603050405020304" charset="0"/>
              <a:ea typeface="宋体" panose="02010600030101010101" charset="-122"/>
            </a:rPr>
            <a:t>9</a:t>
          </a:r>
          <a:r>
            <a:rPr lang="en-US" altLang="zh-CN" sz="1050" kern="1200" baseline="0">
              <a:solidFill>
                <a:schemeClr val="bg1"/>
              </a:solidFill>
              <a:latin typeface="Times New Roman" panose="02020603050405020304" charset="0"/>
              <a:ea typeface="宋体" panose="02010600030101010101" charset="-122"/>
            </a:rPr>
            <a:t>2</a:t>
          </a:r>
          <a:r>
            <a:rPr lang="en-US" sz="1050" kern="1200" baseline="0">
              <a:solidFill>
                <a:schemeClr val="bg1"/>
              </a:solidFill>
              <a:latin typeface="Times New Roman" panose="02020603050405020304" charset="0"/>
              <a:ea typeface="宋体" panose="02010600030101010101" charset="-122"/>
            </a:rPr>
            <a:t>.2</a:t>
          </a:r>
          <a:r>
            <a:rPr lang="en-US" altLang="zh-CN" sz="1050" kern="1200" baseline="0">
              <a:solidFill>
                <a:schemeClr val="bg1"/>
              </a:solidFill>
              <a:latin typeface="Times New Roman" panose="02020603050405020304" charset="0"/>
              <a:ea typeface="宋体" panose="02010600030101010101" charset="-122"/>
            </a:rPr>
            <a:t>0</a:t>
          </a:r>
          <a:r>
            <a:rPr lang="en-US" sz="1050" kern="1200" baseline="0">
              <a:solidFill>
                <a:schemeClr val="bg1"/>
              </a:solidFill>
              <a:latin typeface="Times New Roman" panose="02020603050405020304" charset="0"/>
              <a:ea typeface="宋体" panose="02010600030101010101" charset="-122"/>
            </a:rPr>
            <a:t>%</a:t>
          </a:r>
          <a:endParaRPr lang="zh-CN" altLang="en-US" sz="1050" kern="1200" baseline="0">
            <a:solidFill>
              <a:schemeClr val="bg1"/>
            </a:solidFill>
            <a:latin typeface="Times New Roman" panose="02020603050405020304" charset="0"/>
            <a:ea typeface="宋体" panose="02010600030101010101" charset="-122"/>
          </a:endParaRPr>
        </a:p>
      </dsp:txBody>
      <dsp:txXfrm>
        <a:off x="1334831" y="2132158"/>
        <a:ext cx="852207" cy="731521"/>
      </dsp:txXfrm>
    </dsp:sp>
    <dsp:sp modelId="{500F1F34-78DC-44CE-95BD-03384A18539F}">
      <dsp:nvSpPr>
        <dsp:cNvPr id="0" name=""/>
        <dsp:cNvSpPr/>
      </dsp:nvSpPr>
      <dsp:spPr>
        <a:xfrm>
          <a:off x="1182250" y="2436337"/>
          <a:ext cx="144127" cy="124282"/>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F29F388-2A15-4115-8F55-CC2FBA371711}">
      <dsp:nvSpPr>
        <dsp:cNvPr id="0" name=""/>
        <dsp:cNvSpPr/>
      </dsp:nvSpPr>
      <dsp:spPr>
        <a:xfrm>
          <a:off x="44056" y="1361108"/>
          <a:ext cx="1337654" cy="1121483"/>
        </a:xfrm>
        <a:prstGeom prst="hexagon">
          <a:avLst>
            <a:gd name="adj" fmla="val 25000"/>
            <a:gd name="vf" fmla="val 11547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8000" b="-8000"/>
          </a:stretch>
        </a:blip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E7D3D730-66E3-44B7-86B8-0733A5D987BD}">
      <dsp:nvSpPr>
        <dsp:cNvPr id="0" name=""/>
        <dsp:cNvSpPr/>
      </dsp:nvSpPr>
      <dsp:spPr>
        <a:xfrm>
          <a:off x="931522" y="2304776"/>
          <a:ext cx="144127" cy="124282"/>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965506"/>
              <a:satOff val="-2488"/>
              <a:lumOff val="-1681"/>
              <a:alphaOff val="0"/>
            </a:schemeClr>
          </a:solidFill>
          <a:prstDash val="solid"/>
          <a:miter lim="800000"/>
        </a:ln>
        <a:effectLst/>
      </dsp:spPr>
      <dsp:style>
        <a:lnRef idx="1">
          <a:scrgbClr r="0" g="0" b="0"/>
        </a:lnRef>
        <a:fillRef idx="1">
          <a:scrgbClr r="0" g="0" b="0"/>
        </a:fillRef>
        <a:effectRef idx="0">
          <a:scrgbClr r="0" g="0" b="0"/>
        </a:effectRef>
        <a:fontRef idx="minor"/>
      </dsp:style>
    </dsp:sp>
    <dsp:sp modelId="{EF52D393-5C05-4073-8D0C-B660BEEF9014}">
      <dsp:nvSpPr>
        <dsp:cNvPr id="0" name=""/>
        <dsp:cNvSpPr/>
      </dsp:nvSpPr>
      <dsp:spPr>
        <a:xfrm>
          <a:off x="2190599" y="1383851"/>
          <a:ext cx="1234601" cy="1059763"/>
        </a:xfrm>
        <a:prstGeom prst="hexagon">
          <a:avLst>
            <a:gd name="adj" fmla="val 25000"/>
            <a:gd name="vf" fmla="val 115470"/>
          </a:avLst>
        </a:prstGeom>
        <a:solidFill>
          <a:srgbClr val="FEC74C"/>
        </a:solidFill>
        <a:ln w="6350" cap="flat" cmpd="sng" algn="ctr">
          <a:no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0" tIns="13970" rIns="0" bIns="13970" numCol="1" spcCol="1270" anchor="ctr" anchorCtr="0">
          <a:noAutofit/>
        </a:bodyPr>
        <a:lstStyle/>
        <a:p>
          <a:pPr marL="0" lvl="0" indent="0" algn="ctr" defTabSz="466725">
            <a:lnSpc>
              <a:spcPct val="90000"/>
            </a:lnSpc>
            <a:spcBef>
              <a:spcPct val="0"/>
            </a:spcBef>
            <a:spcAft>
              <a:spcPct val="35000"/>
            </a:spcAft>
            <a:buNone/>
          </a:pPr>
          <a:r>
            <a:rPr lang="zh-CN" altLang="en-US" sz="1050" kern="1200" baseline="0">
              <a:solidFill>
                <a:schemeClr val="bg1"/>
              </a:solidFill>
              <a:latin typeface="Times New Roman" panose="02020603050405020304" charset="0"/>
              <a:ea typeface="宋体" panose="02010600030101010101" charset="-122"/>
            </a:rPr>
            <a:t>职业期待吻合度</a:t>
          </a:r>
          <a:r>
            <a:rPr lang="en-US" sz="1050" kern="1200" baseline="0">
              <a:solidFill>
                <a:schemeClr val="bg1"/>
              </a:solidFill>
              <a:latin typeface="Times New Roman" panose="02020603050405020304" charset="0"/>
              <a:ea typeface="宋体" panose="02010600030101010101" charset="-122"/>
            </a:rPr>
            <a:t>8</a:t>
          </a:r>
          <a:r>
            <a:rPr lang="en-US" altLang="zh-CN" sz="1050" kern="1200" baseline="0">
              <a:solidFill>
                <a:schemeClr val="bg1"/>
              </a:solidFill>
              <a:latin typeface="Times New Roman" panose="02020603050405020304" charset="0"/>
              <a:ea typeface="宋体" panose="02010600030101010101" charset="-122"/>
            </a:rPr>
            <a:t>4.76</a:t>
          </a:r>
          <a:r>
            <a:rPr lang="en-US" sz="1050" kern="1200" baseline="0">
              <a:solidFill>
                <a:schemeClr val="bg1"/>
              </a:solidFill>
              <a:latin typeface="Times New Roman" panose="02020603050405020304" charset="0"/>
              <a:ea typeface="宋体" panose="02010600030101010101" charset="-122"/>
            </a:rPr>
            <a:t>%</a:t>
          </a:r>
          <a:endParaRPr lang="zh-CN" altLang="en-US" sz="1050" kern="1200" baseline="0">
            <a:solidFill>
              <a:schemeClr val="bg1"/>
            </a:solidFill>
            <a:latin typeface="Times New Roman" panose="02020603050405020304" charset="0"/>
            <a:ea typeface="宋体" panose="02010600030101010101" charset="-122"/>
          </a:endParaRPr>
        </a:p>
      </dsp:txBody>
      <dsp:txXfrm>
        <a:off x="2381796" y="1547972"/>
        <a:ext cx="852207" cy="731521"/>
      </dsp:txXfrm>
    </dsp:sp>
    <dsp:sp modelId="{39CE39CF-00B6-4878-A5EB-5134A390F4FC}">
      <dsp:nvSpPr>
        <dsp:cNvPr id="0" name=""/>
        <dsp:cNvSpPr/>
      </dsp:nvSpPr>
      <dsp:spPr>
        <a:xfrm>
          <a:off x="3036328" y="2295539"/>
          <a:ext cx="144127" cy="124282"/>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1931012"/>
              <a:satOff val="-4977"/>
              <a:lumOff val="-3361"/>
              <a:alphaOff val="0"/>
            </a:schemeClr>
          </a:solidFill>
          <a:prstDash val="solid"/>
          <a:miter lim="800000"/>
        </a:ln>
        <a:effectLst/>
      </dsp:spPr>
      <dsp:style>
        <a:lnRef idx="1">
          <a:scrgbClr r="0" g="0" b="0"/>
        </a:lnRef>
        <a:fillRef idx="1">
          <a:scrgbClr r="0" g="0" b="0"/>
        </a:fillRef>
        <a:effectRef idx="0">
          <a:scrgbClr r="0" g="0" b="0"/>
        </a:effectRef>
        <a:fontRef idx="minor"/>
      </dsp:style>
    </dsp:sp>
    <dsp:sp modelId="{9D602F5D-60DB-4973-882E-91D2A3351124}">
      <dsp:nvSpPr>
        <dsp:cNvPr id="0" name=""/>
        <dsp:cNvSpPr/>
      </dsp:nvSpPr>
      <dsp:spPr>
        <a:xfrm>
          <a:off x="3243001" y="1966357"/>
          <a:ext cx="1234601" cy="1059763"/>
        </a:xfrm>
        <a:prstGeom prst="hexagon">
          <a:avLst>
            <a:gd name="adj" fmla="val 25000"/>
            <a:gd name="vf" fmla="val 11547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8000" b="-8000"/>
          </a:stretch>
        </a:blip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9AD8C5DC-245E-446D-BF21-BE0930B2ABEA}">
      <dsp:nvSpPr>
        <dsp:cNvPr id="0" name=""/>
        <dsp:cNvSpPr/>
      </dsp:nvSpPr>
      <dsp:spPr>
        <a:xfrm>
          <a:off x="3271283" y="2441095"/>
          <a:ext cx="144127" cy="124282"/>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2896518"/>
              <a:satOff val="-7465"/>
              <a:lumOff val="-5042"/>
              <a:alphaOff val="0"/>
            </a:schemeClr>
          </a:solidFill>
          <a:prstDash val="solid"/>
          <a:miter lim="800000"/>
        </a:ln>
        <a:effectLst/>
      </dsp:spPr>
      <dsp:style>
        <a:lnRef idx="1">
          <a:scrgbClr r="0" g="0" b="0"/>
        </a:lnRef>
        <a:fillRef idx="1">
          <a:scrgbClr r="0" g="0" b="0"/>
        </a:fillRef>
        <a:effectRef idx="0">
          <a:scrgbClr r="0" g="0" b="0"/>
        </a:effectRef>
        <a:fontRef idx="minor"/>
      </dsp:style>
    </dsp:sp>
    <dsp:sp modelId="{9954D7AE-ADA3-4A1E-A7B0-C4C60E82395C}">
      <dsp:nvSpPr>
        <dsp:cNvPr id="0" name=""/>
        <dsp:cNvSpPr/>
      </dsp:nvSpPr>
      <dsp:spPr>
        <a:xfrm>
          <a:off x="1143634" y="812822"/>
          <a:ext cx="1234601" cy="1059763"/>
        </a:xfrm>
        <a:prstGeom prst="hexagon">
          <a:avLst>
            <a:gd name="adj" fmla="val 25000"/>
            <a:gd name="vf" fmla="val 115470"/>
          </a:avLst>
        </a:prstGeom>
        <a:solidFill>
          <a:srgbClr val="5DCCCB"/>
        </a:solidFill>
        <a:ln w="6350" cap="flat" cmpd="sng" algn="ctr">
          <a:no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0" tIns="13970" rIns="0" bIns="13970" numCol="1" spcCol="1270" anchor="ctr" anchorCtr="0">
          <a:noAutofit/>
        </a:bodyPr>
        <a:lstStyle/>
        <a:p>
          <a:pPr marL="0" lvl="0" indent="0" algn="ctr" defTabSz="466725">
            <a:lnSpc>
              <a:spcPct val="90000"/>
            </a:lnSpc>
            <a:spcBef>
              <a:spcPct val="0"/>
            </a:spcBef>
            <a:spcAft>
              <a:spcPct val="35000"/>
            </a:spcAft>
            <a:buNone/>
          </a:pPr>
          <a:r>
            <a:rPr lang="zh-CN" altLang="en-US" sz="1050" b="0" i="0" kern="1200" baseline="0">
              <a:solidFill>
                <a:schemeClr val="bg1"/>
              </a:solidFill>
              <a:latin typeface="Times New Roman" panose="02020603050405020304" charset="0"/>
              <a:ea typeface="宋体" panose="02010600030101010101" charset="-122"/>
            </a:rPr>
            <a:t>月均收入</a:t>
          </a:r>
          <a:r>
            <a:rPr lang="en-US" sz="1050" kern="1200" baseline="0">
              <a:solidFill>
                <a:schemeClr val="bg1"/>
              </a:solidFill>
              <a:latin typeface="Times New Roman" panose="02020603050405020304" charset="0"/>
              <a:ea typeface="宋体" panose="02010600030101010101" charset="-122"/>
              <a:cs typeface="Times New Roman" panose="02020603050405020304" charset="0"/>
            </a:rPr>
            <a:t>4381.95</a:t>
          </a:r>
          <a:r>
            <a:rPr lang="zh-CN" sz="1050" kern="1200" baseline="0">
              <a:solidFill>
                <a:schemeClr val="bg1"/>
              </a:solidFill>
              <a:latin typeface="Times New Roman" panose="02020603050405020304" charset="0"/>
              <a:ea typeface="宋体" panose="02010600030101010101" charset="-122"/>
            </a:rPr>
            <a:t>元</a:t>
          </a:r>
          <a:endParaRPr lang="zh-CN" altLang="en-US" sz="1050" kern="1200" baseline="0">
            <a:solidFill>
              <a:schemeClr val="bg1"/>
            </a:solidFill>
            <a:latin typeface="Times New Roman" panose="02020603050405020304" charset="0"/>
            <a:ea typeface="宋体" panose="02010600030101010101" charset="-122"/>
          </a:endParaRPr>
        </a:p>
      </dsp:txBody>
      <dsp:txXfrm>
        <a:off x="1334831" y="976943"/>
        <a:ext cx="852207" cy="731521"/>
      </dsp:txXfrm>
    </dsp:sp>
    <dsp:sp modelId="{92A1B0F7-0B09-4C18-88F2-04897D1071D0}">
      <dsp:nvSpPr>
        <dsp:cNvPr id="0" name=""/>
        <dsp:cNvSpPr/>
      </dsp:nvSpPr>
      <dsp:spPr>
        <a:xfrm>
          <a:off x="1983925" y="834655"/>
          <a:ext cx="144127" cy="124282"/>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3862025"/>
              <a:satOff val="-9954"/>
              <a:lumOff val="-6723"/>
              <a:alphaOff val="0"/>
            </a:schemeClr>
          </a:solidFill>
          <a:prstDash val="solid"/>
          <a:miter lim="800000"/>
        </a:ln>
        <a:effectLst/>
      </dsp:spPr>
      <dsp:style>
        <a:lnRef idx="1">
          <a:scrgbClr r="0" g="0" b="0"/>
        </a:lnRef>
        <a:fillRef idx="1">
          <a:scrgbClr r="0" g="0" b="0"/>
        </a:fillRef>
        <a:effectRef idx="0">
          <a:scrgbClr r="0" g="0" b="0"/>
        </a:effectRef>
        <a:fontRef idx="minor"/>
      </dsp:style>
    </dsp:sp>
    <dsp:sp modelId="{2BA91615-123D-470D-894F-BED3BBC88716}">
      <dsp:nvSpPr>
        <dsp:cNvPr id="0" name=""/>
        <dsp:cNvSpPr/>
      </dsp:nvSpPr>
      <dsp:spPr>
        <a:xfrm>
          <a:off x="2183808" y="229198"/>
          <a:ext cx="1180353" cy="1057537"/>
        </a:xfrm>
        <a:prstGeom prst="hexagon">
          <a:avLst>
            <a:gd name="adj" fmla="val 25000"/>
            <a:gd name="vf" fmla="val 11547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7000" b="-7000"/>
          </a:stretch>
        </a:blip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29830B00-F0E5-49FA-B3BF-040B7E68379F}">
      <dsp:nvSpPr>
        <dsp:cNvPr id="0" name=""/>
        <dsp:cNvSpPr/>
      </dsp:nvSpPr>
      <dsp:spPr>
        <a:xfrm>
          <a:off x="2218880" y="698336"/>
          <a:ext cx="144127" cy="124282"/>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4827531"/>
              <a:satOff val="-12442"/>
              <a:lumOff val="-8404"/>
              <a:alphaOff val="0"/>
            </a:schemeClr>
          </a:solidFill>
          <a:prstDash val="solid"/>
          <a:miter lim="800000"/>
        </a:ln>
        <a:effectLst/>
      </dsp:spPr>
      <dsp:style>
        <a:lnRef idx="1">
          <a:scrgbClr r="0" g="0" b="0"/>
        </a:lnRef>
        <a:fillRef idx="1">
          <a:scrgbClr r="0" g="0" b="0"/>
        </a:fillRef>
        <a:effectRef idx="0">
          <a:scrgbClr r="0" g="0" b="0"/>
        </a:effectRef>
        <a:fontRef idx="minor"/>
      </dsp:style>
    </dsp:sp>
    <dsp:sp modelId="{87DB9513-1FB6-4F16-922A-3C64DECBE67D}">
      <dsp:nvSpPr>
        <dsp:cNvPr id="0" name=""/>
        <dsp:cNvSpPr/>
      </dsp:nvSpPr>
      <dsp:spPr>
        <a:xfrm>
          <a:off x="3243001" y="811142"/>
          <a:ext cx="1234601" cy="1059763"/>
        </a:xfrm>
        <a:prstGeom prst="hexagon">
          <a:avLst>
            <a:gd name="adj" fmla="val 25000"/>
            <a:gd name="vf" fmla="val 115470"/>
          </a:avLst>
        </a:prstGeom>
        <a:solidFill>
          <a:srgbClr val="4E8BB2"/>
        </a:solidFill>
        <a:ln w="6350" cap="flat" cmpd="sng" algn="ctr">
          <a:no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0" tIns="13970" rIns="0" bIns="13970" numCol="1" spcCol="1270" anchor="ctr" anchorCtr="0">
          <a:noAutofit/>
        </a:bodyPr>
        <a:lstStyle/>
        <a:p>
          <a:pPr marL="0" lvl="0" indent="0" algn="ctr" defTabSz="466725">
            <a:lnSpc>
              <a:spcPct val="90000"/>
            </a:lnSpc>
            <a:spcBef>
              <a:spcPct val="0"/>
            </a:spcBef>
            <a:spcAft>
              <a:spcPct val="35000"/>
            </a:spcAft>
            <a:buNone/>
          </a:pPr>
          <a:r>
            <a:rPr lang="zh-CN" altLang="en-US" sz="1050" kern="1200" baseline="0">
              <a:solidFill>
                <a:schemeClr val="bg1"/>
              </a:solidFill>
              <a:latin typeface="Times New Roman" panose="02020603050405020304" charset="0"/>
              <a:ea typeface="宋体" panose="02010600030101010101" charset="-122"/>
            </a:rPr>
            <a:t>专业相关度</a:t>
          </a:r>
          <a:r>
            <a:rPr lang="zh-CN" sz="1050" kern="1200">
              <a:solidFill>
                <a:schemeClr val="bg1"/>
              </a:solidFill>
              <a:latin typeface="Times New Roman" panose="02020603050405020304" charset="0"/>
              <a:cs typeface="Times New Roman" panose="02020603050405020304" charset="0"/>
            </a:rPr>
            <a:t>76.95%</a:t>
          </a:r>
          <a:endParaRPr lang="zh-CN" altLang="en-US" sz="1050" kern="1200" baseline="0">
            <a:solidFill>
              <a:schemeClr val="bg1"/>
            </a:solidFill>
            <a:latin typeface="Times New Roman" panose="02020603050405020304" charset="0"/>
            <a:ea typeface="宋体" panose="02010600030101010101" charset="-122"/>
            <a:cs typeface="Times New Roman" panose="02020603050405020304" charset="0"/>
          </a:endParaRPr>
        </a:p>
      </dsp:txBody>
      <dsp:txXfrm>
        <a:off x="3434198" y="975263"/>
        <a:ext cx="852207" cy="731521"/>
      </dsp:txXfrm>
    </dsp:sp>
    <dsp:sp modelId="{05DB2BE4-9A4D-4067-A2BF-8B74C91630BE}">
      <dsp:nvSpPr>
        <dsp:cNvPr id="0" name=""/>
        <dsp:cNvSpPr/>
      </dsp:nvSpPr>
      <dsp:spPr>
        <a:xfrm>
          <a:off x="4304650" y="1278882"/>
          <a:ext cx="144127" cy="124282"/>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5793037"/>
              <a:satOff val="-14931"/>
              <a:lumOff val="-10084"/>
              <a:alphaOff val="0"/>
            </a:schemeClr>
          </a:solidFill>
          <a:prstDash val="solid"/>
          <a:miter lim="800000"/>
        </a:ln>
        <a:effectLst/>
      </dsp:spPr>
      <dsp:style>
        <a:lnRef idx="1">
          <a:scrgbClr r="0" g="0" b="0"/>
        </a:lnRef>
        <a:fillRef idx="1">
          <a:scrgbClr r="0" g="0" b="0"/>
        </a:fillRef>
        <a:effectRef idx="0">
          <a:scrgbClr r="0" g="0" b="0"/>
        </a:effectRef>
        <a:fontRef idx="minor"/>
      </dsp:style>
    </dsp:sp>
    <dsp:sp modelId="{171EDDA6-E08A-4818-B443-B58DAD40293E}">
      <dsp:nvSpPr>
        <dsp:cNvPr id="0" name=""/>
        <dsp:cNvSpPr/>
      </dsp:nvSpPr>
      <dsp:spPr>
        <a:xfrm>
          <a:off x="4439395" y="1445094"/>
          <a:ext cx="955322" cy="956870"/>
        </a:xfrm>
        <a:prstGeom prst="hexagon">
          <a:avLst>
            <a:gd name="adj" fmla="val 25000"/>
            <a:gd name="vf" fmla="val 115470"/>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a:stretch>
        </a:blip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F23C7E7A-499E-4F57-AA29-BC8D883E893F}">
      <dsp:nvSpPr>
        <dsp:cNvPr id="0" name=""/>
        <dsp:cNvSpPr/>
      </dsp:nvSpPr>
      <dsp:spPr>
        <a:xfrm>
          <a:off x="4548851" y="1412403"/>
          <a:ext cx="144127" cy="124282"/>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6758543"/>
              <a:satOff val="-17419"/>
              <a:lumOff val="-11765"/>
              <a:alphaOff val="0"/>
            </a:scheme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6#1">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dstNode" val="node"/>
                    <dgm:param type="begSty" val="noArr"/>
                    <dgm:param type="endSty" val="noArr"/>
                    <dgm:param type="connRout" val="curve"/>
                    <dgm:param type="begPts" val="ctr"/>
                    <dgm:param type="endPts" val="ctr"/>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srcNode" val="dummyConnPt"/>
                    <dgm:param type="dstNode" val="dummyConnPt"/>
                    <dgm:param type="begSty" val="noArr"/>
                    <dgm:param type="endSty" val="noArr"/>
                    <dgm:param type="connRout" val="longCurve"/>
                    <dgm:param type="begPts" val="bCtr"/>
                    <dgm:param type="endPts" val="tCtr"/>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1">
  <dgm:title val=""/>
  <dgm:desc val=""/>
  <dgm:catLst>
    <dgm:cat type="simple" pri="10300"/>
  </dgm:catLst>
  <dgm:scene3d>
    <a:camera prst="orthographicFront"/>
    <a:lightRig rig="threePt" dir="t"/>
  </dgm:scene3d>
  <dgm:styleLbl name="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drawings/drawing1.xml><?xml version="1.0" encoding="utf-8"?>
<c:userShapes xmlns:c="http://schemas.openxmlformats.org/drawingml/2006/chart">
  <cdr:relSizeAnchor xmlns:cdr="http://schemas.openxmlformats.org/drawingml/2006/chartDrawing">
    <cdr:from>
      <cdr:x>0.37645</cdr:x>
      <cdr:y>0.40855</cdr:y>
    </cdr:from>
    <cdr:to>
      <cdr:x>0.60437</cdr:x>
      <cdr:y>0.63867</cdr:y>
    </cdr:to>
    <cdr:sp>
      <cdr:nvSpPr>
        <cdr:cNvPr id="2" name="矩形 1"/>
        <cdr:cNvSpPr/>
      </cdr:nvSpPr>
      <cdr:spPr xmlns:a="http://schemas.openxmlformats.org/drawingml/2006/main">
        <a:xfrm xmlns:a="http://schemas.openxmlformats.org/drawingml/2006/main">
          <a:off x="928682" y="879470"/>
          <a:ext cx="562295" cy="495354"/>
        </a:xfrm>
        <a:prstGeom xmlns:a="http://schemas.openxmlformats.org/drawingml/2006/main" prst="rect">
          <a:avLst/>
        </a:prstGeom>
      </cdr:spPr>
    </cdr:sp>
  </cdr:relSizeAnchor>
  <cdr:relSizeAnchor xmlns:cdr="http://schemas.openxmlformats.org/drawingml/2006/chartDrawing">
    <cdr:from>
      <cdr:x>0.42839</cdr:x>
      <cdr:y>0.40156</cdr:y>
    </cdr:from>
    <cdr:to>
      <cdr:x>0.65632</cdr:x>
      <cdr:y>0.63167</cdr:y>
    </cdr:to>
    <cdr:sp>
      <cdr:nvSpPr>
        <cdr:cNvPr id="3" name="矩形 2"/>
        <cdr:cNvSpPr/>
      </cdr:nvSpPr>
      <cdr:spPr xmlns:a="http://schemas.openxmlformats.org/drawingml/2006/main">
        <a:xfrm xmlns:a="http://schemas.openxmlformats.org/drawingml/2006/main">
          <a:off x="1134347" y="864419"/>
          <a:ext cx="603548" cy="495346"/>
        </a:xfrm>
        <a:prstGeom xmlns:a="http://schemas.openxmlformats.org/drawingml/2006/main" prst="rect">
          <a:avLst/>
        </a:prstGeom>
      </cdr:spPr>
      <cdr:txBody xmlns:a="http://schemas.openxmlformats.org/drawingml/2006/main">
        <a:bodyPr vert="horz" wrap="square" lIns="45720" tIns="45720" rIns="45720" bIns="45720" rtlCol="0" anchor="t" anchorCtr="0">
          <a:normAutofit/>
        </a:bodyPr>
        <a:lstStyle/>
        <a:p>
          <a:r>
            <a:rPr lang="zh-CN" altLang="en-US" sz="1050" b="1">
              <a:solidFill>
                <a:schemeClr val="accent5"/>
              </a:solidFill>
            </a:rPr>
            <a:t>省外</a:t>
          </a:r>
          <a:endParaRPr lang="en-US" altLang="zh-CN" sz="1050" b="1">
            <a:solidFill>
              <a:schemeClr val="accent5"/>
            </a:solidFill>
          </a:endParaRPr>
        </a:p>
        <a:p>
          <a:r>
            <a:rPr lang="zh-CN" altLang="en-US" sz="1050" b="1">
              <a:solidFill>
                <a:schemeClr val="accent5"/>
              </a:solidFill>
            </a:rPr>
            <a:t>生源</a:t>
          </a:r>
          <a:endParaRPr lang="zh-CN" altLang="en-US" sz="1050" b="1">
            <a:solidFill>
              <a:schemeClr val="accent5"/>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0.39287</cdr:x>
      <cdr:y>0.40145</cdr:y>
    </cdr:from>
    <cdr:to>
      <cdr:x>0.60523</cdr:x>
      <cdr:y>0.62711</cdr:y>
    </cdr:to>
    <cdr:sp>
      <cdr:nvSpPr>
        <cdr:cNvPr id="2" name="矩形 1"/>
        <cdr:cNvSpPr/>
      </cdr:nvSpPr>
      <cdr:spPr xmlns:a="http://schemas.openxmlformats.org/drawingml/2006/main">
        <a:xfrm xmlns:a="http://schemas.openxmlformats.org/drawingml/2006/main">
          <a:off x="969205" y="864183"/>
          <a:ext cx="523887" cy="485767"/>
        </a:xfrm>
        <a:prstGeom xmlns:a="http://schemas.openxmlformats.org/drawingml/2006/main" prst="rect">
          <a:avLst/>
        </a:prstGeom>
        <a:noFill/>
        <a:ln w="6350">
          <a:noFill/>
        </a:ln>
        <a:effectLst/>
      </cdr:spPr>
      <cdr:txBody xmlns:a="http://schemas.openxmlformats.org/drawingml/2006/main">
        <a:bodyPr rot="0" spcFirstLastPara="0" vert="horz" wrap="square" lIns="91440" tIns="45720" rIns="91440" bIns="45720" numCol="1" spcCol="0" rtlCol="0" fromWordArt="0" anchor="t" anchorCtr="0" forceAA="0" compatLnSpc="1">
          <a:noAutofit/>
        </a:bodyPr>
        <a:lstStyle/>
        <a:p>
          <a:r>
            <a:rPr lang="zh-CN" altLang="en-US" sz="1050" b="1">
              <a:solidFill>
                <a:schemeClr val="accent5"/>
              </a:solidFill>
            </a:rPr>
            <a:t>省内生源</a:t>
          </a:r>
          <a:endParaRPr lang="zh-CN" altLang="en-US" sz="1050" b="1">
            <a:solidFill>
              <a:schemeClr val="accent5"/>
            </a:solidFill>
          </a:endParaRPr>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C4B9F5-286C-4E1A-AE09-881A32BC2E39}">
  <ds:schemaRefs/>
</ds:datastoreItem>
</file>

<file path=docProps/app.xml><?xml version="1.0" encoding="utf-8"?>
<Properties xmlns="http://schemas.openxmlformats.org/officeDocument/2006/extended-properties" xmlns:vt="http://schemas.openxmlformats.org/officeDocument/2006/docPropsVTypes">
  <Template>Normal</Template>
  <Company>http://sdwm.org</Company>
  <Pages>1</Pages>
  <Words>4586</Words>
  <Characters>26144</Characters>
  <Lines>217</Lines>
  <Paragraphs>61</Paragraphs>
  <TotalTime>418</TotalTime>
  <ScaleCrop>false</ScaleCrop>
  <LinksUpToDate>false</LinksUpToDate>
  <CharactersWithSpaces>30669</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2019-09-18T05:39:00Z</dcterms:created>
  <dc:creator>SDWM</dc:creator>
  <cp:lastModifiedBy>周刚</cp:lastModifiedBy>
  <cp:lastPrinted>2019-12-31T02:43:00Z</cp:lastPrinted>
  <dcterms:modified xsi:type="dcterms:W3CDTF">2019-12-31T07:02:11Z</dcterms:modified>
  <cp:revision>150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